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4A_574/2011 vom 24. November 2011</w:t>
      </w:r>
    </w:p>
    <w:p>
      <w:r>
        <w:t>GE Cour de justice, 2011-11-24, FR</w:t>
      </w:r>
    </w:p>
    <w:p>
      <w:r>
        <w:rPr>
          <w:b/>
        </w:rPr>
        <w:t xml:space="preserve">Quelle: </w:t>
      </w:r>
      <w:r>
        <w:t>https://mcp.opencaselaw.ch/entscheid/ge_gerichte_4A_574_2011</w:t>
      </w:r>
    </w:p>
    <w:p>
      <w:r>
        <w:t>FR: GE_GERICHTE 4A_574/2011 du 24 novembre 2011</w:t>
      </w:r>
    </w:p>
    <w:p>
      <w:r>
        <w:t>IT: GE_GERICHTE 4A_574/2011 del 24 novembre 2011</w:t>
      </w:r>
    </w:p>
    <w:p>
      <w:pPr>
        <w:pStyle w:val="Heading2"/>
      </w:pPr>
      <w:r>
        <w:t>Regeste</w:t>
      </w:r>
    </w:p>
    <w:p>
      <w:r>
        <w:t>Résumé: RETARD PORTANT SUR LA CONSTITUTION DE SÛRETÉS - CONGÉ POUR DÉFAUT DE PAIEMENT PAS POSSIBLE La réglementation de l'art. 282 CO sur la demeure du fermier quant au versement du fermage est calquée sur celle de l'art. 257d CO, seul le délai de paiement étant différent (60 jours au moins dans le bail à ferme, 30 jours au moins dans le bail à loyer). L'interprétation qui est faite par la doctrine de l'art. 257d CO doit ainsi valoir pour l'art. 282 CO. Or la doctrine moderne admet de manière convaincante, sur la base du texte de cette dernière norme, que celle-ci ne peut pas être invoquée lorsque le retard porte en particulier sur la constitution de sûretés.</w:t>
      </w:r>
    </w:p>
    <w:p>
      <w:pPr>
        <w:pStyle w:val="Heading2"/>
      </w:pPr>
      <w:r>
        <w:t>Volltext</w:t>
      </w:r>
    </w:p>
    <w:p>
      <w:r>
        <w:t>Résumé: RETARD PORTANT SUR LA CONSTITUTION DE SÛRETÉS - CONGÉ POUR DÉFAUT DE PAIEMENT PAS POSSIBLE La réglementation de l'art. 282 CO sur la demeure du fermier quant au versement du fermage est calquée sur celle de l'art. 257d CO, seul le délai de paiement étant différent (60 jours au moins dans le bail à ferme, 30 jours au moins dans le bail à loyer). L'interprétation qui est faite par la doctrine de l'art. 257d CO doit ainsi valoir pour l'art. 282 CO. Or la doctrine moderne admet de manière convaincante, sur la base du texte de cette dernière norme, que celle-ci ne peut pas être invoquée lorsque le retard porte en particulier sur la constitution de sûretés.</w:t>
      </w:r>
    </w:p>
    <w:p>
      <w:r>
        <w:t>Descripteurs: Descripteurs: BAIL À FERME ; DEMEURE ; DÉFAUT DE PAIEMENT ; RÉSILIATION ; SÛRETÉS</w:t>
      </w:r>
    </w:p>
    <w:p>
      <w:r>
        <w:t>Normes: Normes: CO.257d; CO.282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