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4A_573/2016 vom 19. September 2017</w:t>
      </w:r>
    </w:p>
    <w:p>
      <w:r>
        <w:t>GE Cour de justice, 2017-09-19, FR</w:t>
      </w:r>
    </w:p>
    <w:p>
      <w:r>
        <w:rPr>
          <w:b/>
        </w:rPr>
        <w:t xml:space="preserve">Quelle: </w:t>
      </w:r>
      <w:r>
        <w:t>https://mcp.opencaselaw.ch/entscheid/ge_gerichte_4A_573_2016</w:t>
      </w:r>
    </w:p>
    <w:p>
      <w:r>
        <w:t>FR: GE_GERICHTE 4A_573/2016 du 19 septembre 2017</w:t>
      </w:r>
    </w:p>
    <w:p>
      <w:r>
        <w:t>IT: GE_GERICHTE 4A_573/2016 del 19 settembre 2017</w:t>
      </w:r>
    </w:p>
    <w:p>
      <w:pPr>
        <w:pStyle w:val="Heading2"/>
      </w:pPr>
      <w:r>
        <w:t>Regeste</w:t>
      </w:r>
    </w:p>
    <w:p>
      <w:r>
        <w:t>Résumé: FORME DU CONTRAT Le contrat de bail à ferme est valable sans qu'il soit nécessaire de respecter une forme spéciale (art. 11 CO). L'accord des volontés peut donc être exprès, tacite ou résulter d'actes concluants.</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