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4A_573/2008 vom 24. April 2009</w:t>
      </w:r>
    </w:p>
    <w:p>
      <w:r>
        <w:t>GE Cour de justice, 2009-04-24, FR</w:t>
      </w:r>
    </w:p>
    <w:p>
      <w:r>
        <w:rPr>
          <w:b/>
        </w:rPr>
        <w:t xml:space="preserve">Quelle: </w:t>
      </w:r>
      <w:r>
        <w:t>https://mcp.opencaselaw.ch/entscheid/ge_gerichte_4A_573_2008</w:t>
      </w:r>
    </w:p>
    <w:p>
      <w:r>
        <w:t>FR: GE_GERICHTE 4A_573/2008 du 24 avril 2009</w:t>
      </w:r>
    </w:p>
    <w:p>
      <w:r>
        <w:t>IT: GE_GERICHTE 4A_573/2008 del 24 aprile 2009</w:t>
      </w:r>
    </w:p>
    <w:p>
      <w:pPr>
        <w:pStyle w:val="Heading2"/>
      </w:pPr>
      <w:r>
        <w:t>Regeste</w:t>
      </w:r>
    </w:p>
    <w:p>
      <w:r>
        <w:t>Résumé: CONTESTATION DU LOYER INITIAL - LOYERS USUELS - OBJETS APPARTENANT A DES BAILLEURS DIFFERENTS MAIS ADMINISTRES PAR UNE SEULE REGIE Des logements appartenant à des bailleurs différents mais administrés par la même gérance doivent être pris en considération, en tant que logements de comparaison, et non pas compter que pour un seul objet de référence.</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