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4A_551/2009 vom 10. Februar 2012</w:t>
      </w:r>
    </w:p>
    <w:p>
      <w:r>
        <w:t>GE Cour de justice, 2012-02-10, FR</w:t>
      </w:r>
    </w:p>
    <w:p>
      <w:r>
        <w:rPr>
          <w:b/>
        </w:rPr>
        <w:t xml:space="preserve">Quelle: </w:t>
      </w:r>
      <w:r>
        <w:t>https://mcp.opencaselaw.ch/entscheid/ge_gerichte_4A_551_2009</w:t>
      </w:r>
    </w:p>
    <w:p>
      <w:r>
        <w:t>FR: GE_GERICHTE 4A_551/2009 du 10 février 2012</w:t>
      </w:r>
    </w:p>
    <w:p>
      <w:r>
        <w:t>IT: GE_GERICHTE 4A_551/2009 del 10 febbraio 2012</w:t>
      </w:r>
    </w:p>
    <w:p>
      <w:pPr>
        <w:pStyle w:val="Heading2"/>
      </w:pPr>
      <w:r>
        <w:t>Regeste</w:t>
      </w:r>
    </w:p>
    <w:p>
      <w:r>
        <w:t>Résumé: CONTENU DE L'AVIS COMMINATOIRE En vertu de l'art. 282 CO, le courrier contenant l'avis comminatoire doit expressément indiquer qu'à défaut de paiement dans le délai imparti, le bail sera résilié. Un renvoi à l'art. 282 CO ou à une clause contractuelle rappelant la disposition légale ne suffit pas.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