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4A_546/2017 vom 26. Juni 2018</w:t>
      </w:r>
    </w:p>
    <w:p>
      <w:r>
        <w:t>GE Cour de justice, 2018-06-26, FR</w:t>
      </w:r>
    </w:p>
    <w:p>
      <w:r>
        <w:rPr>
          <w:b/>
        </w:rPr>
        <w:t xml:space="preserve">Quelle: </w:t>
      </w:r>
      <w:r>
        <w:t>https://mcp.opencaselaw.ch/entscheid/ge_gerichte_4A_546_2017</w:t>
      </w:r>
    </w:p>
    <w:p>
      <w:r>
        <w:t>FR: GE_GERICHTE 4A_546/2017 du 26 juin 2018</w:t>
      </w:r>
    </w:p>
    <w:p>
      <w:r>
        <w:t>IT: GE_GERICHTE 4A_546/2017 del 26 giugno 2018</w:t>
      </w:r>
    </w:p>
    <w:p>
      <w:pPr>
        <w:pStyle w:val="Heading2"/>
      </w:pPr>
      <w:r>
        <w:t>Regeste</w:t>
      </w:r>
    </w:p>
    <w:p>
      <w:r>
        <w:t>Résumé: RESPONSABILITÉ DU PROPRIÉTAIRE DE L'OUVRAGE - CONCONCOURS DE RESPONSABILITÉS A teneur de l'article 58 al. 1 CO, le propriétaire d'un bâtiment ou de tout autre ouvrage répond du dommage causé par des vices de construction ou le défaut d'entretien. Selon la jurisprudence, pour déterminer si un ouvrage est affecté d'un vice de construction initial ou d'un défaut subséquent d'entretien, il sied de prendre en compte le but qui lui est assigné. Un ouvrage est défectueux lorsqu'il n'offre pas de sécurité suffisante pour l'usage auquel il est destiné et non dès qu'il ne présente pas tous les avantages de la technique la plus récente. A teneur de l'article 259e CO, si, en raison du défaut, le locataire a subi un dommage, le bailleur lui doit des dommages-intérêts s'il ne prouve qu'aucune faute ne lui est imputable. Il y a ainsi défaut lorsque la chose ne présente pas une qualité que le bailleur avait promise ou lorsqu'elle ne présente pas une qualité sur laquelle le locataire pouvait légitimement compter en se référant à l'état approprié à l'usage convenu. Il appartient au locataire de démontrer que la chose louée était affectée d'un défaut dont la réparation incombe au bailleur, qu'il a subi un préjudice en raison de ce défaut et que ce préjudice est en rapport de causalité adéquate avec le défaut. La faute du bailleur est présumée, qu'elle soit en lien avec la création du défaut ou avec l'absence ou le retard pris pour la suppression de celui-ci.</w:t>
      </w:r>
    </w:p>
    <w:p>
      <w:pPr>
        <w:pStyle w:val="Heading2"/>
      </w:pPr>
      <w:r>
        <w:t>Volltext</w:t>
      </w:r>
    </w:p>
    <w:p>
      <w:r>
        <w:t>Résumé: RESPONSABILITÉ DU PROPRIÉTAIRE DE L'OUVRAGE - CONCONCOURS DE RESPONSABILITÉS A teneur de l'article 58 al. 1 CO, le propriétaire d'un bâtiment ou de tout autre ouvrage répond du dommage causé par des vices de construction ou le défaut d'entretien. Selon la jurisprudence, pour déterminer si un ouvrage est affecté d'un vice de construction initial ou d'un défaut subséquent d'entretien, il sied de prendre en compte le but qui lui est assigné. Un ouvrage est défectueux lorsqu'il n'offre pas de sécurité suffisante pour l'usage auquel il est destiné et non dès qu'il ne présente pas tous les avantages de la technique la plus récente. A teneur de l'article 259e CO, si, en raison du défaut, le locataire a subi un dommage, le bailleur lui doit des dommages-intérêts s'il ne prouve qu'aucune faute ne lui est imputable. Il y a ainsi défaut lorsque la chose ne présente pas une qualité que le bailleur avait promise ou lorsqu'elle ne présente pas une qualité sur laquelle le locataire pouvait légitimement compter en se référant à l'état approprié à l'usage convenu. Il appartient au locataire de démontrer que la chose louée était affectée d'un défaut dont la réparation incombe au bailleur, qu'il a subi un préjudice en raison de ce défaut et que ce préjudice est en rapport de causalité adéquate avec le défaut. La faute du bailleur est présumée, qu'elle soit en lien avec la création du défaut ou avec l'absence ou le retard pris pour la suppression de celui-ci.</w:t>
      </w:r>
    </w:p>
    <w:p>
      <w:r>
        <w:t>Descripteurs: Descripteurs: BAIL À LOYER ; DÉFAUT DE LA CHOSE ; FAUTE ; DOMMAGES-INTÉRÊTS</w:t>
      </w:r>
    </w:p>
    <w:p>
      <w:r>
        <w:t>Normes: Normes: CO.58; CO.259e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