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4A_545/2011 vom 11. Januar 2012</w:t>
      </w:r>
    </w:p>
    <w:p>
      <w:r>
        <w:t>GE Cour de justice, 2012-01-11, FR</w:t>
      </w:r>
    </w:p>
    <w:p>
      <w:r>
        <w:rPr>
          <w:b/>
        </w:rPr>
        <w:t xml:space="preserve">Quelle: </w:t>
      </w:r>
      <w:r>
        <w:t>https://mcp.opencaselaw.ch/entscheid/ge_gerichte_4A_545_2011</w:t>
      </w:r>
    </w:p>
    <w:p>
      <w:r>
        <w:t>FR: GE_GERICHTE 4A_545/2011 du 11 janvier 2012</w:t>
      </w:r>
    </w:p>
    <w:p>
      <w:r>
        <w:t>IT: GE_GERICHTE 4A_545/2011 del 11 gennaio 2012</w:t>
      </w:r>
    </w:p>
    <w:p>
      <w:pPr>
        <w:pStyle w:val="Heading2"/>
      </w:pPr>
      <w:r>
        <w:t>Regeste</w:t>
      </w:r>
    </w:p>
    <w:p>
      <w:r>
        <w:t>Résumé: AVIS DES DÉFAUTS - ETAT DES LIEUX DE SORTIE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w:t>
      </w:r>
    </w:p>
    <w:p>
      <w:pPr>
        <w:pStyle w:val="Heading2"/>
      </w:pPr>
      <w:r>
        <w:t>Volltext</w:t>
      </w:r>
    </w:p>
    <w:p>
      <w:r>
        <w:t>Résumé: AVIS DES DÉFAUTS - ETAT DES LIEUX DE SORTIE L'avis des défauts doit être précis et détaillé; des considérations générales telles que "taches dans la cuisine" sont insuffisantes. Le bailleur doit clairement faire connaître au locataire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w:t>
      </w:r>
    </w:p>
    <w:p>
      <w:r>
        <w:t>Descripteurs: Descripteurs: BAIL À LOYER ; RESTITUTION(EN GÉNÉRAL) ; DÉFAUT DE LA CHOSE ; AVIS DES DÉFAUTS ; ÉTAT DES LIEUX(CHOSE LOUÉE)</w:t>
      </w:r>
    </w:p>
    <w:p>
      <w:r>
        <w:t>Normes: Normes: CO.267a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