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4A_539/2019 vom 6. Januar 2020</w:t>
      </w:r>
    </w:p>
    <w:p>
      <w:r>
        <w:t>GE Cour de justice, 2020-01-06, FR</w:t>
      </w:r>
    </w:p>
    <w:p>
      <w:r>
        <w:rPr>
          <w:b/>
        </w:rPr>
        <w:t xml:space="preserve">Quelle: </w:t>
      </w:r>
      <w:r>
        <w:t>https://mcp.opencaselaw.ch/entscheid/ge_gerichte_4A_539_2019</w:t>
      </w:r>
    </w:p>
    <w:p>
      <w:r>
        <w:t>FR: GE_GERICHTE 4A_539/2019 du 6 janvier 2020</w:t>
      </w:r>
    </w:p>
    <w:p>
      <w:r>
        <w:t>IT: GE_GERICHTE 4A_539/2019 del 6 gennaio 2020</w:t>
      </w:r>
    </w:p>
    <w:p>
      <w:pPr>
        <w:pStyle w:val="Heading2"/>
      </w:pPr>
      <w:r>
        <w:t>Regeste</w:t>
      </w:r>
    </w:p>
    <w:p>
      <w:r>
        <w:t>Résumé: CONCILIATION - VOLONTE DE REPRESENTER NON RECONNAISSABLE En droit des obligations, l'art. 32 al. 2 CO permet qu'une personne soit éventuellement représentée à l'insu du tiers cocontractant; en revanche, il n'est pas admis qu'une personne soit représentée de manière occulte dans un procès civil, y compris au stade de la procédure de conciliation.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