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4A_524/2008 vom 10. Februar 2009</w:t>
      </w:r>
    </w:p>
    <w:p>
      <w:r>
        <w:t>GE Cour de justice, 2009-02-10, FR</w:t>
      </w:r>
    </w:p>
    <w:p>
      <w:r>
        <w:rPr>
          <w:b/>
        </w:rPr>
        <w:t xml:space="preserve">Quelle: </w:t>
      </w:r>
      <w:r>
        <w:t>https://mcp.opencaselaw.ch/entscheid/ge_gerichte_4A_524_2008</w:t>
      </w:r>
    </w:p>
    <w:p>
      <w:r>
        <w:t>FR: GE_GERICHTE 4A_524/2008 du 10 février 2009</w:t>
      </w:r>
    </w:p>
    <w:p>
      <w:r>
        <w:t>IT: GE_GERICHTE 4A_524/2008 del 10 febbraio 2009</w:t>
      </w:r>
    </w:p>
    <w:p>
      <w:pPr>
        <w:pStyle w:val="Heading2"/>
      </w:pPr>
      <w:r>
        <w:t>Regeste</w:t>
      </w:r>
    </w:p>
    <w:p>
      <w:r>
        <w:t>Résumé: BAIL RECONDUCTIBLE TACITEMENT - RÉINSCRIPTION AU REGISTRE FONCIER APRES RADIATION DU BAIL FAUTE DE REQUÊTE DE PROLONGATION DE L'ANNOTATION AVANT LE PREMIER TERME CONTRACTUEL Un contrat de bail prévu initialement pour une certaine durée et reconductible tacitement doit pouvoir être réinscrit au Registre foncier après que l'annotation du contrat a été radiée d'office, faute de requête de prolongation de l'annotation formulée avant le premier terme contractuel.</w:t>
      </w:r>
    </w:p>
    <w:p>
      <w:pPr>
        <w:pStyle w:val="Heading2"/>
      </w:pPr>
      <w:r>
        <w:t>Volltext</w:t>
      </w:r>
    </w:p>
    <w:p>
      <w:r>
        <w:t>Résumé: BAIL RECONDUCTIBLE TACITEMENT - RÉINSCRIPTION AU REGISTRE FONCIER APRES RADIATION DU BAIL FAUTE DE REQUÊTE DE PROLONGATION DE L'ANNOTATION AVANT LE PREMIER TERME CONTRACTUEL Un contrat de bail prévu initialement pour une certaine durée et reconductible tacitement doit pouvoir être réinscrit au Registre foncier après que l'annotation du contrat a été radiée d'office, faute de requête de prolongation de l'annotation formulée avant le premier terme contractuel.</w:t>
      </w:r>
    </w:p>
    <w:p>
      <w:r>
        <w:t>Descripteurs: Descripteurs: BAIL A LOYER; LOCAL PROFESSIONNEL; RESILIATION; REGISTRE FONCIER</w:t>
      </w:r>
    </w:p>
    <w:p>
      <w:r>
        <w:t>Normes: Normes: CO.261; CO.261b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