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4A_523/2022 vom 9. Mai 2023</w:t>
      </w:r>
    </w:p>
    <w:p>
      <w:r>
        <w:t>GE Cour de justice, 2023-05-09, FR</w:t>
      </w:r>
    </w:p>
    <w:p>
      <w:r>
        <w:rPr>
          <w:b/>
        </w:rPr>
        <w:t xml:space="preserve">Quelle: </w:t>
      </w:r>
      <w:r>
        <w:t>https://mcp.opencaselaw.ch/entscheid/ge_gerichte_4A_523_2022</w:t>
      </w:r>
    </w:p>
    <w:p>
      <w:r>
        <w:t>FR: GE_GERICHTE 4A_523/2022 du 9 mai 2023</w:t>
      </w:r>
    </w:p>
    <w:p>
      <w:r>
        <w:t>IT: GE_GERICHTE 4A_523/2022 del 9 maggio 2023</w:t>
      </w:r>
    </w:p>
    <w:p>
      <w:pPr>
        <w:pStyle w:val="Heading2"/>
      </w:pPr>
      <w:r>
        <w:t>Regeste</w:t>
      </w:r>
    </w:p>
    <w:p>
      <w:r>
        <w:t>Résumé: RESILIATION DEFAUT DE PAIEMENT - CAS CLAIR EVACUATION - DECOMPTE FRAIS ACCESSOIRES CONTESTE Le bailleur qui résilie le bail en sachant que le locataire conteste le décompte de frais accessoires, et qui dépose une requête en expulsion selon la procédure du cas clair, prend le risque de voir sa requête déclarée irrecevable, faute de pouvoir établir sans retard et par titres le montant de frais accessoires qui lui est encore dû.</w:t>
      </w:r>
    </w:p>
    <w:p>
      <w:pPr>
        <w:pStyle w:val="Heading2"/>
      </w:pPr>
      <w:r>
        <w:t>Volltext</w:t>
      </w:r>
    </w:p>
    <w:p>
      <w:r>
        <w:t>Résumé: RESILIATION DEFAUT DE PAIEMENT - CAS CLAIR EVACUATION - DECOMPTE FRAIS ACCESSOIRES CONTESTE Le bailleur qui résilie le bail en sachant que le locataire conteste le décompte de frais accessoires, et qui dépose une requête en expulsion selon la procédure du cas clair, prend le risque de voir sa requête déclarée irrecevable, faute de pouvoir établir sans retard et par titres le montant de frais accessoires qui lui est encore dû.</w:t>
      </w:r>
    </w:p>
    <w:p>
      <w:r>
        <w:t>Descripteurs: Descripteurs: BAIL À LOYER;DÉFAUT DE PAIEMENT;FRAIS ACCESSOIRES</w:t>
      </w:r>
    </w:p>
    <w:p>
      <w:r>
        <w:t>Normes: Normes: CO.257d;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