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4A_517/2014 vom 2. Februar 2015</w:t>
      </w:r>
    </w:p>
    <w:p>
      <w:r>
        <w:t>GE Cour de justice, 2015-02-02, FR</w:t>
      </w:r>
    </w:p>
    <w:p>
      <w:r>
        <w:rPr>
          <w:b/>
        </w:rPr>
        <w:t xml:space="preserve">Quelle: </w:t>
      </w:r>
      <w:r>
        <w:t>https://mcp.opencaselaw.ch/entscheid/ge_gerichte_4A_517_2014</w:t>
      </w:r>
    </w:p>
    <w:p>
      <w:r>
        <w:t>FR: GE_GERICHTE 4A_517/2014 du 2 février 2015</w:t>
      </w:r>
    </w:p>
    <w:p>
      <w:r>
        <w:t>IT: GE_GERICHTE 4A_517/2014 del 2 febbraio 2015</w:t>
      </w:r>
    </w:p>
    <w:p>
      <w:pPr>
        <w:pStyle w:val="Heading2"/>
      </w:pPr>
      <w:r>
        <w:t>Regeste</w:t>
      </w:r>
    </w:p>
    <w:p>
      <w:r>
        <w:t>Résumé: CRÉANCE EN RESTITUTION DE L'INDU - DÉLAI DE PRESCRIPTION RELATIF Le créancier a connaissance de son droit de répétition - et le délai de prescription relatif d'un an commence à courir (art. 67 al. 1 CO) - lorsqu'il connaît suffisamment d'éléments pour fonder et motiver son action en justice, laquelle n'a pas besoin d'être chiffrée (art. 85 CPC). Est déterminant le moment de la connaissance effective de sa prétention, et non celui où il aurait pu connaître son droit en faisant preuve de l'attention commandée par les circonstances. Dans le cas du locataire qui n'a pas reçu la formule officielle obligatoire en vertu de l'art. 270 al. 2 CO, la connaissance effective intervient lorsqu'il sait que l'absence de cette formule, respectivement de l'indication du loyer du locataire précédent ou de la motivation de la hausse, entraîne la nullité du loyer initial, que le loyer qu'il a versé était trop élevé et qu'il était, partant, abusif.</w:t>
      </w:r>
    </w:p>
    <w:p>
      <w:pPr>
        <w:pStyle w:val="Heading2"/>
      </w:pPr>
      <w:r>
        <w:t>Volltext</w:t>
      </w:r>
    </w:p>
    <w:p>
      <w:r>
        <w:t>Résumé: CRÉANCE EN RESTITUTION DE L'INDU - DÉLAI DE PRESCRIPTION RELATIF Le créancier a connaissance de son droit de répétition - et le délai de prescription relatif d'un an commence à courir (art. 67 al. 1 CO) - lorsqu'il connaît suffisamment d'éléments pour fonder et motiver son action en justice, laquelle n'a pas besoin d'être chiffrée (art. 85 CPC). Est déterminant le moment de la connaissance effective de sa prétention, et non celui où il aurait pu connaître son droit en faisant preuve de l'attention commandée par les circonstances. Dans le cas du locataire qui n'a pas reçu la formule officielle obligatoire en vertu de l'art. 270 al. 2 CO, la connaissance effective intervient lorsqu'il sait que l'absence de cette formule, respectivement de l'indication du loyer du locataire précédent ou de la motivation de la hausse, entraîne la nullité du loyer initial, que le loyer qu'il a versé était trop élevé et qu'il était, partant, abusif.</w:t>
      </w:r>
    </w:p>
    <w:p>
      <w:r>
        <w:t>Descripteurs: Descripteurs: BAIL À LOYER; LOYER INITIAL; NULLITÉ; ENRICHISSEMENT ILLÉGITIME; DÉLAI RELATIF; PRESCRIPTION</w:t>
      </w:r>
    </w:p>
    <w:p>
      <w:r>
        <w:t>Normes: Normes: CO.67; CO.270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