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4A_516/2023 vom 8. Oktober 2024</w:t>
      </w:r>
    </w:p>
    <w:p>
      <w:r>
        <w:t>GE Cour de justice, 2024-10-08, FR</w:t>
      </w:r>
    </w:p>
    <w:p>
      <w:r>
        <w:rPr>
          <w:b/>
        </w:rPr>
        <w:t xml:space="preserve">Quelle: </w:t>
      </w:r>
      <w:r>
        <w:t>https://mcp.opencaselaw.ch/entscheid/ge_gerichte_4A_516_2023</w:t>
      </w:r>
    </w:p>
    <w:p>
      <w:r>
        <w:t>FR: GE_GERICHTE 4A_516/2023 du 8 octobre 2024</w:t>
      </w:r>
    </w:p>
    <w:p>
      <w:r>
        <w:t>IT: GE_GERICHTE 4A_516/2023 del 8 ottobre 2024</w:t>
      </w:r>
    </w:p>
    <w:p>
      <w:pPr>
        <w:pStyle w:val="Heading2"/>
      </w:pPr>
      <w:r>
        <w:t>Regeste</w:t>
      </w:r>
    </w:p>
    <w:p>
      <w:r>
        <w:t>Résumé: EXPULSION - DECISION D'EXPULSION ASSORTIE DE MESURES D'EXECUTION- VOIE DE DROIT A SUIVRE (APPEL OU RECOURS) Le CPC a opté pour une distinction bipartite des voies de droit, à savoir une voie de droit ordinaire, l’appel prévu aux art. 308 ss CPC, opposée à une voie de droit extraordinaire, le recours prévu aux art. 319 ss CPC. Le choix entre ces deux voies de droit, exclusives l’une de l’autre, dépend uniquement de la nature du jugement attaqué, voire de la valeur litigieuse (art. 308, 309 et 319 CPC), et non de la volonté des parties, ni du type de procédure, ni même des griefs invoqués. En l’espèce, le jugement statue sur une requête d’expulsion tendant à la restitution des objets des baux au sens de l’art. 267 al. 1 CO, soit une prétention de droit matériel qui présuppose que le contrat de bail ait valablement pris fin. Accessoirement, le jugement de première instance assortit la décision précitée de mesures d’exécution. Le jugement de première instance met fin au procès en tranchant le fond du litige. Ainsi, il s’agit d’une décision finale sur le fond. Le recourant ne conteste pas que la valeur litigieuse dépasse les 10’000 fr. Les conditions de l’art. 308 CPC sont ainsi réalisées. Contrairement à ce que soutient le recourant, le fait que le jugement de première instance comprenne des mesures d’exécution directes n’en fait pas une décision attaquable par la voie du recours, au sens de l’art. 309 let. a CPC. Seules sont concernées par cette disposition les décisions du tribunal de l’exécution. Or il s’agit ici d’une décision du juge ordinaire.</w:t>
      </w:r>
    </w:p>
    <w:p>
      <w:pPr>
        <w:pStyle w:val="Heading2"/>
      </w:pPr>
      <w:r>
        <w:t>Volltext</w:t>
      </w:r>
    </w:p>
    <w:p>
      <w:r>
        <w:t>Résumé: EXPULSION - DECISION D'EXPULSION ASSORTIE DE MESURES D'EXECUTION- VOIE DE DROIT A SUIVRE (APPEL OU RECOURS) Le CPC a opté pour une distinction bipartite des voies de droit, à savoir une voie de droit ordinaire, l’appel prévu aux art. 308 ss CPC, opposée à une voie de droit extraordinaire, le recours prévu aux art. 319 ss CPC. Le choix entre ces deux voies de droit, exclusives l’une de l’autre, dépend uniquement de la nature du jugement attaqué, voire de la valeur litigieuse (art. 308, 309 et 319 CPC), et non de la volonté des parties, ni du type de procédure, ni même des griefs invoqués. En l’espèce, le jugement statue sur une requête d’expulsion tendant à la restitution des objets des baux au sens de l’art. 267 al. 1 CO, soit une prétention de droit matériel qui présuppose que le contrat de bail ait valablement pris fin. Accessoirement, le jugement de première instance assortit la décision précitée de mesures d’exécution. Le jugement de première instance met fin au procès en tranchant le fond du litige. Ainsi, il s’agit d’une décision finale sur le fond. Le recourant ne conteste pas que la valeur litigieuse dépasse les 10’000 fr. Les conditions de l’art. 308 CPC sont ainsi réalisées. Contrairement à ce que soutient le recourant, le fait que le jugement de première instance comprenne des mesures d’exécution directes n’en fait pas une décision attaquable par la voie du recours, au sens de l’art. 309 let. a CPC. Seules sont concernées par cette disposition les décisions du tribunal de l’exécution. Or il s’agit ici d’une décision du juge ordinaire.</w:t>
      </w:r>
    </w:p>
    <w:p>
      <w:r>
        <w:t>Descripteurs: Descripteurs: BAIL À LOYER;ÉVACUATION(EN GÉNÉRAL);EXÉCUTION(PROCÉDURE);INDICATION DES VOIES DE DROIT</w:t>
      </w:r>
    </w:p>
    <w:p>
      <w:r>
        <w:t>Normes: Normes: CPC.308; CPC.319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