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4A_500/2013 vom 19. März 2014</w:t>
      </w:r>
    </w:p>
    <w:p>
      <w:r>
        <w:t>GE Cour de justice, 2014-03-19, FR</w:t>
      </w:r>
    </w:p>
    <w:p>
      <w:r>
        <w:rPr>
          <w:b/>
        </w:rPr>
        <w:t xml:space="preserve">Quelle: </w:t>
      </w:r>
      <w:r>
        <w:t>https://mcp.opencaselaw.ch/entscheid/ge_gerichte_4A_500_2013</w:t>
      </w:r>
    </w:p>
    <w:p>
      <w:r>
        <w:t>FR: GE_GERICHTE 4A_500/2013 du 19 mars 2014</w:t>
      </w:r>
    </w:p>
    <w:p>
      <w:r>
        <w:t>IT: GE_GERICHTE 4A_500/2013 del 19 marzo 2014</w:t>
      </w:r>
    </w:p>
    <w:p>
      <w:pPr>
        <w:pStyle w:val="Heading2"/>
      </w:pPr>
      <w:r>
        <w:t>Regeste</w:t>
      </w:r>
    </w:p>
    <w:p>
      <w:r>
        <w:t>Résumé: TRANSFERT DU BAIL DE LOCAUX COMMERCIAUX - DETTE SOLIDAIRE Le transfert du bail donne naissance, selon l'art. 263 al. 4 CO, à une dette solidaire du locataire transférant et du locataire reprenant conformément aux articles 143-149 CO.</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