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4A_484/2011 vom 2. November 2011</w:t>
      </w:r>
    </w:p>
    <w:p>
      <w:r>
        <w:t>GE Cour de justice, 2011-11-02, FR</w:t>
      </w:r>
    </w:p>
    <w:p>
      <w:r>
        <w:rPr>
          <w:b/>
        </w:rPr>
        <w:t xml:space="preserve">Quelle: </w:t>
      </w:r>
      <w:r>
        <w:t>https://mcp.opencaselaw.ch/entscheid/ge_gerichte_4A_484_2011</w:t>
      </w:r>
    </w:p>
    <w:p>
      <w:r>
        <w:t>FR: GE_GERICHTE 4A_484/2011 du 2 novembre 2011</w:t>
      </w:r>
    </w:p>
    <w:p>
      <w:r>
        <w:t>IT: GE_GERICHTE 4A_484/2011 del 2 novembre 2011</w:t>
      </w:r>
    </w:p>
    <w:p>
      <w:pPr>
        <w:pStyle w:val="Heading2"/>
      </w:pPr>
      <w:r>
        <w:t>Regeste</w:t>
      </w:r>
    </w:p>
    <w:p>
      <w:r>
        <w:t>Résumé: TRAVAUX À PLUS-VALUE ÉNERGÉTIQUE Les investissements pour des améliorations énergétiques peuvent être considérés dans leur totalité comme des améliorations à plus-value, pour autant qu'ils soient de nature à induire une réduction des frais accessoires</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