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4A_456/2019 vom 8. April 2020</w:t>
      </w:r>
    </w:p>
    <w:p>
      <w:r>
        <w:t>GE Cour de justice, 2020-04-08, FR</w:t>
      </w:r>
    </w:p>
    <w:p>
      <w:r>
        <w:rPr>
          <w:b/>
        </w:rPr>
        <w:t xml:space="preserve">Quelle: </w:t>
      </w:r>
      <w:r>
        <w:t>https://mcp.opencaselaw.ch/entscheid/ge_gerichte_4A_456_2019</w:t>
      </w:r>
    </w:p>
    <w:p>
      <w:r>
        <w:t>FR: GE_GERICHTE 4A_456/2019 du 8 avril 2020</w:t>
      </w:r>
    </w:p>
    <w:p>
      <w:r>
        <w:t>IT: GE_GERICHTE 4A_456/2019 del 8 aprile 2020</w:t>
      </w:r>
    </w:p>
    <w:p>
      <w:pPr>
        <w:pStyle w:val="Heading2"/>
      </w:pPr>
      <w:r>
        <w:t>Regeste</w:t>
      </w:r>
    </w:p>
    <w:p>
      <w:r>
        <w:t>Résumé: TRANSACTION JUDICIAIRE - INTERPRÉTATION La transaction judiciaire est un acte consensuel par lequel les parties mettent fin à leur litige ou à une incertitude au sujet de leur relation juridique. Elle s’interprète selon les règles applicables au contrat (art. 1 et 18 CO). Les art. 23 ss CO ne s’appliquent qu’avec restrictions. Le juge doit dès lors dans un premier temps rechercher la réelle et commune intention des parties (interprétation subjective). Cette appréciation relève des faits. S’il ne parvient pas à établir l’intention des parties, il doit recourir à une interprétation selon le principe de la confiance.</w:t>
      </w:r>
    </w:p>
    <w:p>
      <w:pPr>
        <w:pStyle w:val="Heading2"/>
      </w:pPr>
      <w:r>
        <w:t>Volltext</w:t>
      </w:r>
    </w:p>
    <w:p>
      <w:r>
        <w:t>Résumé: TRANSACTION JUDICIAIRE - INTERPRÉTATION La transaction judiciaire est un acte consensuel par lequel les parties mettent fin à leur litige ou à une incertitude au sujet de leur relation juridique. Elle s’interprète selon les règles applicables au contrat (art. 1 et 18 CO). Les art. 23 ss CO ne s’appliquent qu’avec restrictions. Le juge doit dès lors dans un premier temps rechercher la réelle et commune intention des parties (interprétation subjective). Cette appréciation relève des faits. S’il ne parvient pas à établir l’intention des parties, il doit recourir à une interprétation selon le principe de la confiance.</w:t>
      </w:r>
    </w:p>
    <w:p>
      <w:r>
        <w:t>Descripteurs: Descripteurs: BAIL À LOYER;TRANSACTION JUDICIAIRE;INTERPRÉTATION(SENS GÉNÉRAL)</w:t>
      </w:r>
    </w:p>
    <w:p>
      <w:r>
        <w:t>Normes: Normes: CPC.241; CO.1; CO.18; CO.23ss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