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4A_448/2021 vom 11. April 2022</w:t>
      </w:r>
    </w:p>
    <w:p>
      <w:r>
        <w:t>GE Cour de justice, 2022-04-11, FR</w:t>
      </w:r>
    </w:p>
    <w:p>
      <w:r>
        <w:rPr>
          <w:b/>
        </w:rPr>
        <w:t xml:space="preserve">Quelle: </w:t>
      </w:r>
      <w:r>
        <w:t>https://mcp.opencaselaw.ch/entscheid/ge_gerichte_4A_448_2021</w:t>
      </w:r>
    </w:p>
    <w:p>
      <w:r>
        <w:t>FR: GE_GERICHTE 4A_448/2021 du 11 avril 2022</w:t>
      </w:r>
    </w:p>
    <w:p>
      <w:r>
        <w:t>IT: GE_GERICHTE 4A_448/2021 del 11 aprile 2022</w:t>
      </w:r>
    </w:p>
    <w:p>
      <w:pPr>
        <w:pStyle w:val="Heading2"/>
      </w:pPr>
      <w:r>
        <w:t>Regeste</w:t>
      </w:r>
    </w:p>
    <w:p>
      <w:r>
        <w:t>Résumé: CONGÉ ÉCONOMIQUE - CRITÈRE DES LOYERS USUELS - MOYENS DE PREUVES - STATISTIQUES Les statistiques qui ne sont pas suffisamment différenciées au sens de l’art. 11 OBLF constituent un repère objectif et peuvent être prises en compte pour la fixation du loyer initial admissible (ATF147 III 14). Cette possibilité n’est toutefois pas ouverte dans le contexte d’une résiliation du bail pour motifs économiques lorsque le juge doit se prononcer sur la validité de la résiliation.</w:t>
      </w:r>
    </w:p>
    <w:p>
      <w:pPr>
        <w:pStyle w:val="Heading2"/>
      </w:pPr>
      <w:r>
        <w:t>Volltext</w:t>
      </w:r>
    </w:p>
    <w:p>
      <w:r>
        <w:t>Résumé: CONGÉ ÉCONOMIQUE - CRITÈRE DES LOYERS USUELS - MOYENS DE PREUVES - STATISTIQUES Les statistiques qui ne sont pas suffisamment différenciées au sens de l’art. 11 OBLF constituent un repère objectif et peuvent être prises en compte pour la fixation du loyer initial admissible (ATF147 III 14). Cette possibilité n’est toutefois pas ouverte dans le contexte d’une résiliation du bail pour motifs économiques lorsque le juge doit se prononcer sur la validité de la résiliation.</w:t>
      </w:r>
    </w:p>
    <w:p>
      <w:r>
        <w:t>Descripteurs: Descripteurs: BAIL À LOYER;PROTECTION CONTRE LES CONGÉS;LOYER USUEL;ADMINISTRATION DES PREUVES</w:t>
      </w:r>
    </w:p>
    <w:p>
      <w:r>
        <w:t>Normes: Normes: CO.271; OBLF.11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