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4A_447/2015 vom 31. März 2016</w:t>
      </w:r>
    </w:p>
    <w:p>
      <w:r>
        <w:t>GE Cour de justice, 2016-03-31, FR</w:t>
      </w:r>
    </w:p>
    <w:p>
      <w:r>
        <w:rPr>
          <w:b/>
        </w:rPr>
        <w:t xml:space="preserve">Quelle: </w:t>
      </w:r>
      <w:r>
        <w:t>https://mcp.opencaselaw.ch/entscheid/ge_gerichte_4A_447_2015</w:t>
      </w:r>
    </w:p>
    <w:p>
      <w:r>
        <w:t>FR: GE_GERICHTE 4A_447/2015 du 31 mars 2016</w:t>
      </w:r>
    </w:p>
    <w:p>
      <w:r>
        <w:t>IT: GE_GERICHTE 4A_447/2015 del 31 marzo 2016</w:t>
      </w:r>
    </w:p>
    <w:p>
      <w:pPr>
        <w:pStyle w:val="Heading2"/>
      </w:pPr>
      <w:r>
        <w:t>Regeste</w:t>
      </w:r>
    </w:p>
    <w:p>
      <w:r>
        <w:t>Résumé: BESOIN PROPRE ET URGENT Le besoin propre et urgent a un sens similaire aux art. 261 al. 2 let. a et 271a al. 3 let. a CO, dans lesquels il influe sur la validité de la résiliation, alors qu'il n'est qu'un intérêt parmi d'autres - du bailleur - que le juge doit mettre en balance (pesée des intérêts) avec celui du locataire pour statuer sur la prolongation du bail selon l'art. 272 al. 2 let. d CO.</w:t>
      </w:r>
    </w:p>
    <w:p>
      <w:pPr>
        <w:pStyle w:val="Heading2"/>
      </w:pPr>
      <w:r>
        <w:t>Volltext</w:t>
      </w:r>
    </w:p>
    <w:p>
      <w:r>
        <w:t>Résumé: BESOIN PROPRE ET URGENT Le besoin propre et urgent a un sens similaire aux art. 261 al. 2 let. a et 271a al. 3 let. a CO, dans lesquels il influe sur la validité de la résiliation, alors qu'il n'est qu'un intérêt parmi d'autres - du bailleur - que le juge doit mettre en balance (pesée des intérêts) avec celui du locataire pour statuer sur la prolongation du bail selon l'art. 272 al. 2 let. d CO.</w:t>
      </w:r>
    </w:p>
    <w:p>
      <w:r>
        <w:t>Descripteurs: Descripteurs: BAIL À LOYER; TRANSFERT DE BAIL; RÉSILIATION ANTICIPÉE; PREUVE DE L'INTÉRÊT ; USAGE PERSONNEL</w:t>
      </w:r>
    </w:p>
    <w:p>
      <w:r>
        <w:t>Normes: Normes: CO.261.al.2.let.a; CO.271a.al.3.let.a; CO.272.al.2.let.d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