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4A_431/2022 vom 28. Februar 2023</w:t>
      </w:r>
    </w:p>
    <w:p>
      <w:r>
        <w:t>GE Cour de justice, 2023-02-28, FR</w:t>
      </w:r>
    </w:p>
    <w:p>
      <w:r>
        <w:rPr>
          <w:b/>
        </w:rPr>
        <w:t xml:space="preserve">Quelle: </w:t>
      </w:r>
      <w:r>
        <w:t>https://mcp.opencaselaw.ch/entscheid/ge_gerichte_4A_431_2022</w:t>
      </w:r>
    </w:p>
    <w:p>
      <w:r>
        <w:t>FR: GE_GERICHTE 4A_431/2022 du 28 février 2023</w:t>
      </w:r>
    </w:p>
    <w:p>
      <w:r>
        <w:t>IT: GE_GERICHTE 4A_431/2022 del 28 febbraio 2023</w:t>
      </w:r>
    </w:p>
    <w:p>
      <w:pPr>
        <w:pStyle w:val="Heading2"/>
      </w:pPr>
      <w:r>
        <w:t>Regeste</w:t>
      </w:r>
    </w:p>
    <w:p>
      <w:r>
        <w:t>Résumé: LOCAL COMMERCIAL - GERANCE LIBRE L’article 262 CO s’applique par analogie lorsque le locataire d’une surface commerciale abritant un restaurant confie l’exploitation de l’établissement à un tiers par un contrat de gérance libre.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