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4A_425/2019 vom 11. November 2019</w:t>
      </w:r>
    </w:p>
    <w:p>
      <w:r>
        <w:t>GE Cour de justice, 2019-11-11, FR</w:t>
      </w:r>
    </w:p>
    <w:p>
      <w:r>
        <w:rPr>
          <w:b/>
        </w:rPr>
        <w:t xml:space="preserve">Quelle: </w:t>
      </w:r>
      <w:r>
        <w:t>https://mcp.opencaselaw.ch/entscheid/ge_gerichte_4A_425_2019</w:t>
      </w:r>
    </w:p>
    <w:p>
      <w:r>
        <w:t>FR: GE_GERICHTE 4A_425/2019 du 11 novembre 2019</w:t>
      </w:r>
    </w:p>
    <w:p>
      <w:r>
        <w:t>IT: GE_GERICHTE 4A_425/2019 del 11 novembre 2019</w:t>
      </w:r>
    </w:p>
    <w:p>
      <w:pPr>
        <w:pStyle w:val="Heading2"/>
      </w:pPr>
      <w:r>
        <w:t>Regeste</w:t>
      </w:r>
    </w:p>
    <w:p>
      <w:r>
        <w:t>Résumé: APPLICATION D'UN NOUVEAU RÈGLEMENT POUR LES LOGEMENTS À CARACTÈRE SOCIAL Le fait pour la Ville de Genève d'informer les locataires - par le biais de la formule officielle et à titre de modification du contrat - que le bail sera à l'avenir soumis à un règlement fixant les conditions de location des logements à caractère social n'apporte aucune modification des relations contractuelles. Cela ne correspond en particulier pas (encore) à une majoration de loyer permettant aux locataires de revendiquer la protection des art. 269 et 269a CO. De manière générale, l'application du règlement devra respecter le droit fédéral (art. 49 Cst. féd.) et ne pourra aboutir à un résultat contraire aux art. 269 ss CO.</w:t>
      </w:r>
    </w:p>
    <w:p>
      <w:pPr>
        <w:pStyle w:val="Heading2"/>
      </w:pPr>
      <w:r>
        <w:t>Volltext</w:t>
      </w:r>
    </w:p>
    <w:p>
      <w:r>
        <w:t>Résumé: APPLICATION D'UN NOUVEAU RÈGLEMENT POUR LES LOGEMENTS À CARACTÈRE SOCIAL Le fait pour la Ville de Genève d'informer les locataires - par le biais de la formule officielle et à titre de modification du contrat - que le bail sera à l'avenir soumis à un règlement fixant les conditions de location des logements à caractère social n'apporte aucune modification des relations contractuelles. Cela ne correspond en particulier pas (encore) à une majoration de loyer permettant aux locataires de revendiquer la protection des art. 269 et 269a CO. De manière générale, l'application du règlement devra respecter le droit fédéral (art. 49 Cst. féd.) et ne pourra aboutir à un résultat contraire aux art. 269 ss CO.</w:t>
      </w:r>
    </w:p>
    <w:p>
      <w:r>
        <w:t>Descripteurs: Descripteurs: BAIL À LOYER ; MODIFICATION(EN GÉNÉRAL) ; BAILLEUR(BAIL À LOYER) ; LOGEMENT SOCIAL</w:t>
      </w:r>
    </w:p>
    <w:p>
      <w:r>
        <w:t>Normes: Normes: CO.269d; CO.269ss; Cst.49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