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4A_415/2015 vom 22. August 2016</w:t>
      </w:r>
    </w:p>
    <w:p>
      <w:r>
        <w:t>GE Cour de justice, 2016-08-22, FR</w:t>
      </w:r>
    </w:p>
    <w:p>
      <w:r>
        <w:rPr>
          <w:b/>
        </w:rPr>
        <w:t xml:space="preserve">Quelle: </w:t>
      </w:r>
      <w:r>
        <w:t>https://mcp.opencaselaw.ch/entscheid/ge_gerichte_4A_415_2015</w:t>
      </w:r>
    </w:p>
    <w:p>
      <w:r>
        <w:t>FR: GE_GERICHTE 4A_415/2015 du 22 août 2016</w:t>
      </w:r>
    </w:p>
    <w:p>
      <w:r>
        <w:t>IT: GE_GERICHTE 4A_415/2015 del 22 agosto 2016</w:t>
      </w:r>
    </w:p>
    <w:p>
      <w:pPr>
        <w:pStyle w:val="Heading2"/>
      </w:pPr>
      <w:r>
        <w:t>Regeste</w:t>
      </w:r>
    </w:p>
    <w:p>
      <w:r>
        <w:t>Résumé: NULLITÉ DE LA CLAUSE D'ÉCHELONNEMENT La nullité de la clause d'échelonnement peur être constatée en tout temps, sous réserve de l'abus de droit. Il n'y a ainsi pas d'obligation d'agir dans le délai de l'article 270 CO pour contester un bail contraire aux conditions légales des articles 269b ou 269c CO.</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