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4A_412/2009 vom 15. Dezember 2009</w:t>
      </w:r>
    </w:p>
    <w:p>
      <w:r>
        <w:t>GE Cour de justice, 2009-12-15, FR</w:t>
      </w:r>
    </w:p>
    <w:p>
      <w:r>
        <w:rPr>
          <w:b/>
        </w:rPr>
        <w:t xml:space="preserve">Quelle: </w:t>
      </w:r>
      <w:r>
        <w:t>https://mcp.opencaselaw.ch/entscheid/ge_gerichte_4A_412_2009</w:t>
      </w:r>
    </w:p>
    <w:p>
      <w:r>
        <w:t>FR: GE_GERICHTE 4A_412/2009 du 15 décembre 2009</w:t>
      </w:r>
    </w:p>
    <w:p>
      <w:r>
        <w:t>IT: GE_GERICHTE 4A_412/2009 del 15 dicembre 2009</w:t>
      </w:r>
    </w:p>
    <w:p>
      <w:pPr>
        <w:pStyle w:val="Heading2"/>
      </w:pPr>
      <w:r>
        <w:t>Regeste</w:t>
      </w:r>
    </w:p>
    <w:p>
      <w:r>
        <w:t>Résumé: LOYERS USUELS - ANNÉE DE CONSTRUCTION S'agissant du critère de comparaison "année de construction", il y a lieu de s'en tenir strictement à la différence de plus ou moins vingt ans, afin d'assurer la prévisibilité du droit à l'égalité de traitement.</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