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4A_409/2007 vom 14. Januar 2008</w:t>
      </w:r>
    </w:p>
    <w:p>
      <w:r>
        <w:t>GE Cour de justice, 2008-01-14, FR</w:t>
      </w:r>
    </w:p>
    <w:p>
      <w:r>
        <w:rPr>
          <w:b/>
        </w:rPr>
        <w:t xml:space="preserve">Quelle: </w:t>
      </w:r>
      <w:r>
        <w:t>https://mcp.opencaselaw.ch/entscheid/ge_gerichte_4A_409_2007</w:t>
      </w:r>
    </w:p>
    <w:p>
      <w:r>
        <w:t>FR: GE_GERICHTE 4A_409/2007 du 14 janvier 2008</w:t>
      </w:r>
    </w:p>
    <w:p>
      <w:r>
        <w:t>IT: GE_GERICHTE 4A_409/2007 del 14 gennaio 2008</w:t>
      </w:r>
    </w:p>
    <w:p>
      <w:pPr>
        <w:pStyle w:val="Heading2"/>
      </w:pPr>
      <w:r>
        <w:t>Regeste</w:t>
      </w:r>
    </w:p>
    <w:p>
      <w:r>
        <w:t>Résumé: HAUSSE DE LOYER - NULLITÉ - ABUS DE DROIT DU LOCATAIRE Commet un abus de droit le locataire qui, conscient du vice de forme affectant une hausse de loyer, ne l'a pas contestée dans le délai de 30 jours et ne s'en plaint qu'au moment de la résiliation du bail, tout en s'étant acquitté du nouveau loyer sans réserve.</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