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4A_400/2017 vom 13. September 2018</w:t>
      </w:r>
    </w:p>
    <w:p>
      <w:r>
        <w:t>GE Cour de justice, 2018-09-13, FR</w:t>
      </w:r>
    </w:p>
    <w:p>
      <w:r>
        <w:rPr>
          <w:b/>
        </w:rPr>
        <w:t xml:space="preserve">Quelle: </w:t>
      </w:r>
      <w:r>
        <w:t>https://mcp.opencaselaw.ch/entscheid/ge_gerichte_4A_400_2017</w:t>
      </w:r>
    </w:p>
    <w:p>
      <w:r>
        <w:t>FR: GE_GERICHTE 4A_400/2017 du 13 septembre 2018</w:t>
      </w:r>
    </w:p>
    <w:p>
      <w:r>
        <w:t>IT: GE_GERICHTE 4A_400/2017 del 13 settembre 2018</w:t>
      </w:r>
    </w:p>
    <w:p>
      <w:pPr>
        <w:pStyle w:val="Heading2"/>
      </w:pPr>
      <w:r>
        <w:t>Regeste</w:t>
      </w:r>
    </w:p>
    <w:p>
      <w:r>
        <w:t>Résumé: IMMEUBLE ANCIEN - QUALIFICATION - 30 ANS Un immeuble est ancien lorsque sa construction ou sa dernière acquisition est de 30 ans au moins au moment du début du bail. Le délai de 30 ans commence donc à courir soit à la date de la construction de l'immeuble, soit à celle de sa dernière acquisition, et doit être échu au moment du début du bail. On ne saurait par ailleurs justifier une différence de traitement entre les bailleurs professionnels et les bailleurs " privés ".</w:t>
      </w:r>
    </w:p>
    <w:p>
      <w:pPr>
        <w:pStyle w:val="Heading2"/>
      </w:pPr>
      <w:r>
        <w:t>Volltext</w:t>
      </w:r>
    </w:p>
    <w:p>
      <w:r>
        <w:t>Résumé: IMMEUBLE ANCIEN - QUALIFICATION - 30 ANS Un immeuble est ancien lorsque sa construction ou sa dernière acquisition est de 30 ans au moins au moment du début du bail. Le délai de 30 ans commence donc à courir soit à la date de la construction de l'immeuble, soit à celle de sa dernière acquisition, et doit être échu au moment du début du bail. On ne saurait par ailleurs justifier une différence de traitement entre les bailleurs professionnels et les bailleurs " privés ".</w:t>
      </w:r>
    </w:p>
    <w:p>
      <w:r>
        <w:t>Descripteurs: Descripteurs: BAIL À LOYER ; LOYER INITIAL ; LOYER ABUSIF ; LOYER USUEL</w:t>
      </w:r>
    </w:p>
    <w:p>
      <w:r>
        <w:t>Normes: Normes: CO.269a; CO.270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