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4A_393/2018 vom 20. Februar 2019</w:t>
      </w:r>
    </w:p>
    <w:p>
      <w:r>
        <w:t>GE Cour de justice, 2019-02-20, FR</w:t>
      </w:r>
    </w:p>
    <w:p>
      <w:r>
        <w:rPr>
          <w:b/>
        </w:rPr>
        <w:t xml:space="preserve">Quelle: </w:t>
      </w:r>
      <w:r>
        <w:t>https://mcp.opencaselaw.ch/entscheid/ge_gerichte_4A_393_2018</w:t>
      </w:r>
    </w:p>
    <w:p>
      <w:r>
        <w:t>FR: GE_GERICHTE 4A_393/2018 du 20 février 2019</w:t>
      </w:r>
    </w:p>
    <w:p>
      <w:r>
        <w:t>IT: GE_GERICHTE 4A_393/2018 del 20 febbraio 2019</w:t>
      </w:r>
    </w:p>
    <w:p>
      <w:pPr>
        <w:pStyle w:val="Heading2"/>
      </w:pPr>
      <w:r>
        <w:t>Regeste</w:t>
      </w:r>
    </w:p>
    <w:p>
      <w:r>
        <w:t>Résumé: ALIÉNATION DE LA CHOSE LOUÉE - LOCATAIRE PAS ENCORE EN POSSESSION DES LOCAUX Un transfert de bail après que la chose louée a été aliénée ne suppose pas que le locataire soit déjà entré en possession de l'objet loué. La seule conclusion du contrat suffit.</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