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4A_353/2007 vom 14. März 2008</w:t>
      </w:r>
    </w:p>
    <w:p>
      <w:r>
        <w:t>GE Cour de justice, 2008-03-14, FR</w:t>
      </w:r>
    </w:p>
    <w:p>
      <w:r>
        <w:rPr>
          <w:b/>
        </w:rPr>
        <w:t xml:space="preserve">Quelle: </w:t>
      </w:r>
      <w:r>
        <w:t>https://mcp.opencaselaw.ch/entscheid/ge_gerichte_4A_353_2007</w:t>
      </w:r>
    </w:p>
    <w:p>
      <w:r>
        <w:t>FR: GE_GERICHTE 4A_353/2007 du 14 mars 2008</w:t>
      </w:r>
    </w:p>
    <w:p>
      <w:r>
        <w:t>IT: GE_GERICHTE 4A_353/2007 del 14 marzo 2008</w:t>
      </w:r>
    </w:p>
    <w:p>
      <w:pPr>
        <w:pStyle w:val="Heading2"/>
      </w:pPr>
      <w:r>
        <w:t>Regeste</w:t>
      </w:r>
    </w:p>
    <w:p>
      <w:r>
        <w:t>Résumé: CONGÉ POUR DEMEURE DU LOCATAIRE - COMPENSATION - CRÉANCE EN DOMMAGES-INTÉRÊTS La créance en dommages-intérêts résultant d'aménagements non amortis à la suite d'une résiliation donnée pour justes motifs n'est exigible qu'à la fin du bail et ne peut donc être opposée en compensation aux arriérés de loyer.</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