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4A_34/2017 vom 18. April 2017</w:t>
      </w:r>
    </w:p>
    <w:p>
      <w:r>
        <w:t>GE Cour de justice, 2017-04-18, FR</w:t>
      </w:r>
    </w:p>
    <w:p>
      <w:r>
        <w:rPr>
          <w:b/>
        </w:rPr>
        <w:t xml:space="preserve">Quelle: </w:t>
      </w:r>
      <w:r>
        <w:t>https://mcp.opencaselaw.ch/entscheid/ge_gerichte_4A_34_2017</w:t>
      </w:r>
    </w:p>
    <w:p>
      <w:r>
        <w:t>FR: GE_GERICHTE 4A_34/2017 du 18 avril 2017</w:t>
      </w:r>
    </w:p>
    <w:p>
      <w:r>
        <w:t>IT: GE_GERICHTE 4A_34/2017 del 18 aprile 2017</w:t>
      </w:r>
    </w:p>
    <w:p>
      <w:pPr>
        <w:pStyle w:val="Heading2"/>
      </w:pPr>
      <w:r>
        <w:t>Regeste</w:t>
      </w:r>
    </w:p>
    <w:p>
      <w:r>
        <w:t>Résumé: BAIL PORTANT SUR UN LOCAL COMMERCIAL - ABSENCE DE PROTECTION L'art. 271a al. 1 let. f CO n'est pas applicable à un bail de locaux commerciaux.</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