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4A_347/2017 vom 21. Dezember 2017</w:t>
      </w:r>
    </w:p>
    <w:p>
      <w:r>
        <w:t>GE Cour de justice, 2017-12-21, FR</w:t>
      </w:r>
    </w:p>
    <w:p>
      <w:r>
        <w:rPr>
          <w:b/>
        </w:rPr>
        <w:t xml:space="preserve">Quelle: </w:t>
      </w:r>
      <w:r>
        <w:t>https://mcp.opencaselaw.ch/entscheid/ge_gerichte_4A_347_2017</w:t>
      </w:r>
    </w:p>
    <w:p>
      <w:r>
        <w:t>FR: GE_GERICHTE 4A_347/2017 du 21 décembre 2017</w:t>
      </w:r>
    </w:p>
    <w:p>
      <w:r>
        <w:t>IT: GE_GERICHTE 4A_347/2017 del 21 dicembre 2017</w:t>
      </w:r>
    </w:p>
    <w:p>
      <w:pPr>
        <w:pStyle w:val="Heading2"/>
      </w:pPr>
      <w:r>
        <w:t>Regeste</w:t>
      </w:r>
    </w:p>
    <w:p>
      <w:r>
        <w:t>Résumé: MOTIVATION DU CONGÉ Le bailleur est lié par le motif de résiliation qu'il a indiqué à l'appui de sa résiliation et il ne peut pas lui substituer par la suite un autre motif qui lui serait plus favorable. Des précisions sur le motif de congé indiqué dans l'avis de résiliation peuvent en revanche toujours être apportées en complément au cours de la procédure judiciaire.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