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4A_333/2022 vom 9. November 2022</w:t>
      </w:r>
    </w:p>
    <w:p>
      <w:r>
        <w:t>GE Cour de justice, 2022-11-09, FR</w:t>
      </w:r>
    </w:p>
    <w:p>
      <w:r>
        <w:rPr>
          <w:b/>
        </w:rPr>
        <w:t xml:space="preserve">Quelle: </w:t>
      </w:r>
      <w:r>
        <w:t>https://mcp.opencaselaw.ch/entscheid/ge_gerichte_4A_333_2022</w:t>
      </w:r>
    </w:p>
    <w:p>
      <w:r>
        <w:t>FR: GE_GERICHTE 4A_333/2022 du 9 novembre 2022</w:t>
      </w:r>
    </w:p>
    <w:p>
      <w:r>
        <w:t>IT: GE_GERICHTE 4A_333/2022 del 9 novembre 2022</w:t>
      </w:r>
    </w:p>
    <w:p>
      <w:pPr>
        <w:pStyle w:val="Heading2"/>
      </w:pPr>
      <w:r>
        <w:t>Regeste</w:t>
      </w:r>
    </w:p>
    <w:p>
      <w:r>
        <w:t>Résumé: RESILIATION POUR DEFAUT DE PAIEMENT - COMPENSATION AVEC CREANCE RESULTANT DE PRETENDUS DEFAUTS DE LA CHOSE LOUEE En cas de défauts réparables, le locataire n'est pas autorisé à unilatéralement réduire le loyer, mais doit au contraire exiger la réparation du défaut et consigner le loyer. La retenue du loyer ou la compensation opérée par le locataire de son propre chef s'avère donc inadmissible.</w:t>
      </w:r>
    </w:p>
    <w:p>
      <w:pPr>
        <w:pStyle w:val="Heading2"/>
      </w:pPr>
      <w:r>
        <w:t>Volltext</w:t>
      </w:r>
    </w:p>
    <w:p>
      <w:r>
        <w:t>Résumé: RESILIATION POUR DEFAUT DE PAIEMENT - COMPENSATION AVEC CREANCE RESULTANT DE PRETENDUS DEFAUTS DE LA CHOSE LOUEE En cas de défauts réparables, le locataire n'est pas autorisé à unilatéralement réduire le loyer, mais doit au contraire exiger la réparation du défaut et consigner le loyer. La retenue du loyer ou la compensation opérée par le locataire de son propre chef s'avère donc inadmissible.</w:t>
      </w:r>
    </w:p>
    <w:p>
      <w:r>
        <w:t>Descripteurs: Descripteurs: BAIL À LOYER;DÉFAUT DE PAIEMENT;RÉSILIATION;COMPENSATION DE CRÉANCES;DÉFAUT DE LA CHOSE</w:t>
      </w:r>
    </w:p>
    <w:p>
      <w:r>
        <w:t>Normes: Normes: CO.257d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