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4A_32/2018 vom 11. Juli 2018</w:t>
      </w:r>
    </w:p>
    <w:p>
      <w:r>
        <w:t>GE Cour de justice, 2018-07-11, FR</w:t>
      </w:r>
    </w:p>
    <w:p>
      <w:r>
        <w:rPr>
          <w:b/>
        </w:rPr>
        <w:t xml:space="preserve">Quelle: </w:t>
      </w:r>
      <w:r>
        <w:t>https://mcp.opencaselaw.ch/entscheid/ge_gerichte_4A_32_2018</w:t>
      </w:r>
    </w:p>
    <w:p>
      <w:r>
        <w:t>FR: GE_GERICHTE 4A_32/2018 du 11 juillet 2018</w:t>
      </w:r>
    </w:p>
    <w:p>
      <w:r>
        <w:t>IT: GE_GERICHTE 4A_32/2018 del 11 luglio 2018</w:t>
      </w:r>
    </w:p>
    <w:p>
      <w:pPr>
        <w:pStyle w:val="Heading2"/>
      </w:pPr>
      <w:r>
        <w:t>Regeste</w:t>
      </w:r>
    </w:p>
    <w:p>
      <w:r>
        <w:t>Résumé: NOTION DE DOMMAGE - PRÊT CONSENTI À LA LOCATAIRE La jurisprudence définit le dommage comme une diminution involontaire de la fortune nette,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Un dommage futur hypothétique n'entre pas en considération. Constitue un dommage le fait que le patrimoine de la locataire soit grevé d'une obligation de rembourser résultant d'un prêt octroyé par la soeur de la locataire (in casu pour payer des nuits d'hôtel lorsque la locataire ne pouvait rester dormir dans son appartement en raison du bruit).</w:t>
      </w:r>
    </w:p>
    <w:p>
      <w:pPr>
        <w:pStyle w:val="Heading2"/>
      </w:pPr>
      <w:r>
        <w:t>Volltext</w:t>
      </w:r>
    </w:p>
    <w:p>
      <w:r>
        <w:t>Résumé: NOTION DE DOMMAGE - PRÊT CONSENTI À LA LOCATAIRE La jurisprudence définit le dommage comme une diminution involontaire de la fortune nette,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Un dommage futur hypothétique n'entre pas en considération. Constitue un dommage le fait que le patrimoine de la locataire soit grevé d'une obligation de rembourser résultant d'un prêt octroyé par la soeur de la locataire (in casu pour payer des nuits d'hôtel lorsque la locataire ne pouvait rester dormir dans son appartement en raison du bruit).</w:t>
      </w:r>
    </w:p>
    <w:p>
      <w:r>
        <w:t>Descripteurs: Descripteurs: BAIL À LOYER; DÉFAUT DE LA CHOSE; CHOSE LOUEE; DOMMAGES-INTÉRÊTS ; DOMMAGE</w:t>
      </w:r>
    </w:p>
    <w:p>
      <w:r>
        <w:t>Normes: Normes: CO.259e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