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4A_314/2011 vom 3. November 2011</w:t>
      </w:r>
    </w:p>
    <w:p>
      <w:r>
        <w:t>GE Cour de justice, 2011-11-03, FR</w:t>
      </w:r>
    </w:p>
    <w:p>
      <w:r>
        <w:rPr>
          <w:b/>
        </w:rPr>
        <w:t xml:space="preserve">Quelle: </w:t>
      </w:r>
      <w:r>
        <w:t>https://mcp.opencaselaw.ch/entscheid/ge_gerichte_4A_314_2011</w:t>
      </w:r>
    </w:p>
    <w:p>
      <w:r>
        <w:t>FR: GE_GERICHTE 4A_314/2011 du 3 novembre 2011</w:t>
      </w:r>
    </w:p>
    <w:p>
      <w:r>
        <w:t>IT: GE_GERICHTE 4A_314/2011 del 3 novembre 2011</w:t>
      </w:r>
    </w:p>
    <w:p>
      <w:pPr>
        <w:pStyle w:val="Heading2"/>
      </w:pPr>
      <w:r>
        <w:t>Regeste</w:t>
      </w:r>
    </w:p>
    <w:p>
      <w:r>
        <w:t>Résumé: INDEXATION DU LOYER EN CAS DE RECONDUCTION TACITE DU CONTRAT Lorsqu'un bail assorti d'une clause d'indexation se renouvelle tacitement pour une durée de cinq ans au minimum, la prochaine indexation doit être calculée en se référant à l'indice officiel suisse des prix à la consommation connu au moment de la dernière fixation du loyer, sans égard à la reconduction tacite survenue dans l'intervalle.</w:t>
      </w:r>
    </w:p>
    <w:p>
      <w:pPr>
        <w:pStyle w:val="Heading2"/>
      </w:pPr>
      <w:r>
        <w:t>Volltext</w:t>
      </w:r>
    </w:p>
    <w:p>
      <w:r>
        <w:t>Résumé: INDEXATION DU LOYER EN CAS DE RECONDUCTION TACITE DU CONTRAT Lorsqu'un bail assorti d'une clause d'indexation se renouvelle tacitement pour une durée de cinq ans au minimum, la prochaine indexation doit être calculée en se référant à l'indice officiel suisse des prix à la consommation connu au moment de la dernière fixation du loyer, sans égard à la reconduction tacite survenue dans l'intervalle.</w:t>
      </w:r>
    </w:p>
    <w:p>
      <w:r>
        <w:t>Descripteurs: Descripteurs: ; BAIL À LOYER ; INDICE DES PRIX À LA CONSOMMATION ; LOYER INDEXÉ ; RENOUVELLEMENT(EN GÉNÉRAL)</w:t>
      </w:r>
    </w:p>
    <w:p>
      <w:r>
        <w:t>Normes: Normes: CO.269b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