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4A_313/2019 vom 19. März 2020</w:t>
      </w:r>
    </w:p>
    <w:p>
      <w:r>
        <w:t>GE Cour de justice, 2020-03-19, FR</w:t>
      </w:r>
    </w:p>
    <w:p>
      <w:r>
        <w:rPr>
          <w:b/>
        </w:rPr>
        <w:t xml:space="preserve">Quelle: </w:t>
      </w:r>
      <w:r>
        <w:t>https://mcp.opencaselaw.ch/entscheid/ge_gerichte_4A_313_2019</w:t>
      </w:r>
    </w:p>
    <w:p>
      <w:r>
        <w:t>FR: GE_GERICHTE 4A_313/2019 du 19 mars 2020</w:t>
      </w:r>
    </w:p>
    <w:p>
      <w:r>
        <w:t>IT: GE_GERICHTE 4A_313/2019 del 19 marzo 2020</w:t>
      </w:r>
    </w:p>
    <w:p>
      <w:pPr>
        <w:pStyle w:val="Heading2"/>
      </w:pPr>
      <w:r>
        <w:t>Regeste</w:t>
      </w:r>
    </w:p>
    <w:p>
      <w:r>
        <w:t>Résumé: RUPTURE DES POURPARLERS - RESPONSABILITÉ PRÉCONTRACTUELLE En vertu du principe de la liberté contractuelle, chacun est libre d’entamer une négociation et de l’interrompre quand il le veut, même sans justification, dans les limites des règles de la bonne foi (art. 2 al. 1 CC). La culpa in contrahendo repose sur l’idée que l’ouverture de pourparlers crée déjà une relation juridique entre partenaires et leur impose des devoirs réciproques, soit en particulier celui de négocier sérieusement, conformément à leurs véritables intentions. Toutefois, ce n’est que dans des situations exceptionnelles qu’une culpa in contrahendo sera retenue en cas de rupture des pourparlers. Le comportement contraire aux règles de la bonne foi ne consiste pas tant à avoir rompu les pourparlers qu’à avoir maintenu l’autre partie dans l’idée que le contrat serait certainement conclu ou à n’avoir pas dissipé cette illusion à temps. Si la partie prétendument lésée connaissait ou aurait dû connaître la réalité (elle savait ou aurait dû savoir que les négociations n’allaient de toute façon pas aboutir) (cf. art. 2 al. 1 CC), il est d’emblée exclu de lui reconnaître une confiance légitime (dans le fait que le contrat serait conclu) et, partant, la responsabilité précontractuelle de l’autre partie n’entre pas en ligne de compte. 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L’échec des négociations n’entraînera donc en principe pas de responsabilité, sauf si des éléments particuliers tels qu’un accord oral ou écrit ont nourri la confiance légitime que le contrat serait certainement conclu. In casu, le refus de signer seul le contrat de reprise de commerce alors qu’il était initialement prévu que celui-ci soit signé simultanément au contrat de bail n’engage pas la responsabilité précontractuelle des défendeurs.</w:t>
      </w:r>
    </w:p>
    <w:p>
      <w:pPr>
        <w:pStyle w:val="Heading2"/>
      </w:pPr>
      <w:r>
        <w:t>Volltext</w:t>
      </w:r>
    </w:p>
    <w:p>
      <w:r>
        <w:t>Résumé: RUPTURE DES POURPARLERS - RESPONSABILITÉ PRÉCONTRACTUELLE En vertu du principe de la liberté contractuelle, chacun est libre d’entamer une négociation et de l’interrompre quand il le veut, même sans justification, dans les limites des règles de la bonne foi (art. 2 al. 1 CC). La culpa in contrahendo repose sur l’idée que l’ouverture de pourparlers crée déjà une relation juridique entre partenaires et leur impose des devoirs réciproques, soit en particulier celui de négocier sérieusement, conformément à leurs véritables intentions. Toutefois, ce n’est que dans des situations exceptionnelles qu’une culpa in contrahendo sera retenue en cas de rupture des pourparlers. Le comportement contraire aux règles de la bonne foi ne consiste pas tant à avoir rompu les pourparlers qu’à avoir maintenu l’autre partie dans l’idée que le contrat serait certainement conclu ou à n’avoir pas dissipé cette illusion à temps. Si la partie prétendument lésée connaissait ou aurait dû connaître la réalité (elle savait ou aurait dû savoir que les négociations n’allaient de toute façon pas aboutir) (cf. art. 2 al. 1 CC), il est d’emblée exclu de lui reconnaître une confiance légitime (dans le fait que le contrat serait conclu) et, partant, la responsabilité précontractuelle de l’autre partie n’entre pas en ligne de compte. 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L’échec des négociations n’entraînera donc en principe pas de responsabilité, sauf si des éléments particuliers tels qu’un accord oral ou écrit ont nourri la confiance légitime que le contrat serait certainement conclu. In casu, le refus de signer seul le contrat de reprise de commerce alors qu’il était initialement prévu que celui-ci soit signé simultanément au contrat de bail n’engage pas la responsabilité précontractuelle des défendeurs.</w:t>
      </w:r>
    </w:p>
    <w:p>
      <w:r>
        <w:t>Descripteurs: Descripteurs: BAIL À LOYER;CONCLUSION DU CONTRAT;CULPA IN CONTRAHENDO;POURPARLERS</w:t>
      </w:r>
    </w:p>
    <w:p>
      <w:r>
        <w:t>Normes: Normes: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