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4A_285/2018 vom 26. November 2018</w:t>
      </w:r>
    </w:p>
    <w:p>
      <w:r>
        <w:t>GE Cour de justice, 2018-11-26, FR</w:t>
      </w:r>
    </w:p>
    <w:p>
      <w:r>
        <w:rPr>
          <w:b/>
        </w:rPr>
        <w:t xml:space="preserve">Quelle: </w:t>
      </w:r>
      <w:r>
        <w:t>https://mcp.opencaselaw.ch/entscheid/ge_gerichte_4A_285_2018</w:t>
      </w:r>
    </w:p>
    <w:p>
      <w:r>
        <w:t>FR: GE_GERICHTE 4A_285/2018 du 26 novembre 2018</w:t>
      </w:r>
    </w:p>
    <w:p>
      <w:r>
        <w:t>IT: GE_GERICHTE 4A_285/2018 del 26 novembre 2018</w:t>
      </w:r>
    </w:p>
    <w:p>
      <w:pPr>
        <w:pStyle w:val="Heading2"/>
      </w:pPr>
      <w:r>
        <w:t>Regeste</w:t>
      </w:r>
    </w:p>
    <w:p>
      <w:r>
        <w:t>Résumé: NOTIFICATION DU LOYER INITIAL - LOGEMENT DE LUXE - CAS CLAIR La procédure en cas clair suppose que l'état de fait ne soit pas litigieux ou qu'il soit susceptible d'être immédiatement prouvé et que, cumulativement, la situation juridique soit sans équivoque, ce qui n'est manifestement pas le cas lorsque la divergence porte sur le caractère luxueux ou non du bien loué.</w:t>
      </w:r>
    </w:p>
    <w:p>
      <w:pPr>
        <w:pStyle w:val="Heading2"/>
      </w:pPr>
      <w:r>
        <w:t>Volltext</w:t>
      </w:r>
    </w:p>
    <w:p>
      <w:r>
        <w:t>Résumé: NOTIFICATION DU LOYER INITIAL - LOGEMENT DE LUXE - CAS CLAIR La procédure en cas clair suppose que l'état de fait ne soit pas litigieux ou qu'il soit susceptible d'être immédiatement prouvé et que, cumulativement, la situation juridique soit sans équivoque, ce qui n'est manifestement pas le cas lorsque la divergence porte sur le caractère luxueux ou non du bien loué.</w:t>
      </w:r>
    </w:p>
    <w:p>
      <w:r>
        <w:t>Descripteurs: Descripteurs: BAIL À LOYER ; LOYER INITIAL ; FORMULE OFFICIELLE ; LOGEMENT DE LUXE ; CAS CLAIR</w:t>
      </w:r>
    </w:p>
    <w:p>
      <w:r>
        <w:t>Normes: Normes: CPC.257; CO.253b.al.2; CO.269d;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