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4A_285/2013 vom 7. November 2013</w:t>
      </w:r>
    </w:p>
    <w:p>
      <w:r>
        <w:t>GE Cour de justice, 2013-11-07, FR</w:t>
      </w:r>
    </w:p>
    <w:p>
      <w:r>
        <w:rPr>
          <w:b/>
        </w:rPr>
        <w:t xml:space="preserve">Quelle: </w:t>
      </w:r>
      <w:r>
        <w:t>https://mcp.opencaselaw.ch/entscheid/ge_gerichte_4A_285_2013</w:t>
      </w:r>
    </w:p>
    <w:p>
      <w:r>
        <w:t>FR: GE_GERICHTE 4A_285/2013 du 7 novembre 2013</w:t>
      </w:r>
    </w:p>
    <w:p>
      <w:r>
        <w:t>IT: GE_GERICHTE 4A_285/2013 del 7 novembre 2013</w:t>
      </w:r>
    </w:p>
    <w:p>
      <w:pPr>
        <w:pStyle w:val="Heading2"/>
      </w:pPr>
      <w:r>
        <w:t>Regeste</w:t>
      </w:r>
    </w:p>
    <w:p>
      <w:r>
        <w:t>Résumé: RÉSILIATION PAR LE BAILLEUR - EXIGENCES CONCERNANT LA SIGNATURE MANUSCRITE Le congé donné par le bailleur dans une formule officielle non signée est valable si le courrier qui l'accompagne contient lui-même une signature manuscrite originale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