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4A_284/2019 vom 1. Oktober 2019</w:t>
      </w:r>
    </w:p>
    <w:p>
      <w:r>
        <w:t>GE Cour de justice, 2019-10-01, FR</w:t>
      </w:r>
    </w:p>
    <w:p>
      <w:r>
        <w:rPr>
          <w:b/>
        </w:rPr>
        <w:t xml:space="preserve">Quelle: </w:t>
      </w:r>
      <w:r>
        <w:t>https://mcp.opencaselaw.ch/entscheid/ge_gerichte_4A_284_2019</w:t>
      </w:r>
    </w:p>
    <w:p>
      <w:r>
        <w:t>FR: GE_GERICHTE 4A_284/2019 du 1 octobre 2019</w:t>
      </w:r>
    </w:p>
    <w:p>
      <w:r>
        <w:t>IT: GE_GERICHTE 4A_284/2019 del 1 ottobre 2019</w:t>
      </w:r>
    </w:p>
    <w:p>
      <w:pPr>
        <w:pStyle w:val="Heading2"/>
      </w:pPr>
      <w:r>
        <w:t>Regeste</w:t>
      </w:r>
    </w:p>
    <w:p>
      <w:r>
        <w:t>Résumé: BESOIN DU BAILLEUR ACTIONNAIRE ET PRÉSIDENT DU CONSEIL D'ADMINISTRATION D'UNE ENTREPRISE Le bailleur personnellement partie à un contrat de bail peut le résilier en invoquant un besoin personnel lorsque ce besoin concerne l'entreprise dont il est actionnaire et président du conseil d'administration. Un tel motif n'est pas contraire à la bonne foi (art. 271 al. 1 CO).</w:t>
      </w:r>
    </w:p>
    <w:p>
      <w:pPr>
        <w:pStyle w:val="Heading2"/>
      </w:pPr>
      <w:r>
        <w:t>Volltext</w:t>
      </w:r>
    </w:p>
    <w:p>
      <w:r>
        <w:t>Résumé: BESOIN DU BAILLEUR ACTIONNAIRE ET PRÉSIDENT DU CONSEIL D'ADMINISTRATION D'UNE ENTREPRISE Le bailleur personnellement partie à un contrat de bail peut le résilier en invoquant un besoin personnel lorsque ce besoin concerne l'entreprise dont il est actionnaire et président du conseil d'administration. Un tel motif n'est pas contraire à la bonne foi (art. 271 al. 1 CO).</w:t>
      </w:r>
    </w:p>
    <w:p>
      <w:r>
        <w:t>Descripteurs: Descripteurs: BAIL À LOYER ; PROTECTION CONTRE LES CONGÉS ; RÉSILIATION ; BESOIN(EN GÉNÉRAL) ; BAILLEUR(BAIL À LOYER)</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