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4A_249/2017 vom 8. Dezember 2017</w:t>
      </w:r>
    </w:p>
    <w:p>
      <w:r>
        <w:t>GE Cour de justice, 2017-12-08, FR</w:t>
      </w:r>
    </w:p>
    <w:p>
      <w:r>
        <w:rPr>
          <w:b/>
        </w:rPr>
        <w:t xml:space="preserve">Quelle: </w:t>
      </w:r>
      <w:r>
        <w:t>https://mcp.opencaselaw.ch/entscheid/ge_gerichte_4A_249_2017</w:t>
      </w:r>
    </w:p>
    <w:p>
      <w:r>
        <w:t>FR: GE_GERICHTE 4A_249/2017 du 8 décembre 2017</w:t>
      </w:r>
    </w:p>
    <w:p>
      <w:r>
        <w:t>IT: GE_GERICHTE 4A_249/2017 del 8 dicembre 2017</w:t>
      </w:r>
    </w:p>
    <w:p>
      <w:pPr>
        <w:pStyle w:val="Heading2"/>
      </w:pPr>
      <w:r>
        <w:t>Regeste</w:t>
      </w:r>
    </w:p>
    <w:p>
      <w:r>
        <w:t>Résumé: ERREUR ESSENTIELLE - SURFACE DES LOCAUX - CONDITIONS - APPARTEMENT Pour que l'erreur soit essentielle au sens de l'art. 24 al. 1 ch. 4 CO,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Pour qu'il y ait erreur essentielle, il ne suffit donc pas que l'erreur porte sur un fait essentiel d'un point de vue objectif, mais dépourvu d'influence décisive sur la décision de conclure le contrat de bail aux conditions proposées. D'un point de vue subjectif, la surface doit avoir exercé une influence décisive sur la décision du locataire de conclure le bail aux conditions proposées par le bailleur. Alors que le loyer des locaux commerciaux est généralement fixé en fonction du prix au mètre carré (cf. art. 11 al. 2 OBLF), la surface des logements n'est qu'un élément de comparaison parmi d'autres pour déterminer les loyers usuels dans la localité et le quartier, à côté de l'emplacement, l'équipement, l'état et l'année de construction (cf. art. 11 al. 1 OBLF). Par ailleurs, la surface n'a pas une influence décisive si des circonstances particulières font apparaître que l'indication erronée de celle-ci n'avait pas un caractère essentiel pour le locataire dans l'espèce.</w:t>
      </w:r>
    </w:p>
    <w:p>
      <w:pPr>
        <w:pStyle w:val="Heading2"/>
      </w:pPr>
      <w:r>
        <w:t>Volltext</w:t>
      </w:r>
    </w:p>
    <w:p>
      <w:r>
        <w:t>Résumé: ERREUR ESSENTIELLE - SURFACE DES LOCAUX - CONDITIONS - APPARTEMENT Pour que l'erreur soit essentielle au sens de l'art. 24 al. 1 ch. 4 CO,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Pour qu'il y ait erreur essentielle, il ne suffit donc pas que l'erreur porte sur un fait essentiel d'un point de vue objectif, mais dépourvu d'influence décisive sur la décision de conclure le contrat de bail aux conditions proposées. D'un point de vue subjectif, la surface doit avoir exercé une influence décisive sur la décision du locataire de conclure le bail aux conditions proposées par le bailleur. Alors que le loyer des locaux commerciaux est généralement fixé en fonction du prix au mètre carré (cf. art. 11 al. 2 OBLF), la surface des logements n'est qu'un élément de comparaison parmi d'autres pour déterminer les loyers usuels dans la localité et le quartier, à côté de l'emplacement, l'équipement, l'état et l'année de construction (cf. art. 11 al. 1 OBLF). Par ailleurs, la surface n'a pas une influence décisive si des circonstances particulières font apparaître que l'indication erronée de celle-ci n'avait pas un caractère essentiel pour le locataire dans l'espèce.</w:t>
      </w:r>
    </w:p>
    <w:p>
      <w:r>
        <w:t>Descripteurs: Descripteurs: BAIL À LOYER ; ERREUR ; CHOSE LOUÉE ; SURFACE</w:t>
      </w:r>
    </w:p>
    <w:p>
      <w:r>
        <w:t>Normes: Normes: CO.23; CO.24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