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4A_243/2018 vom 17. Dezember 2018</w:t>
      </w:r>
    </w:p>
    <w:p>
      <w:r>
        <w:t>GE Cour de justice, 2018-12-17, FR</w:t>
      </w:r>
    </w:p>
    <w:p>
      <w:r>
        <w:rPr>
          <w:b/>
        </w:rPr>
        <w:t xml:space="preserve">Quelle: </w:t>
      </w:r>
      <w:r>
        <w:t>https://mcp.opencaselaw.ch/entscheid/ge_gerichte_4A_243_2018</w:t>
      </w:r>
    </w:p>
    <w:p>
      <w:r>
        <w:t>FR: GE_GERICHTE 4A_243/2018 du 17 décembre 2018</w:t>
      </w:r>
    </w:p>
    <w:p>
      <w:r>
        <w:t>IT: GE_GERICHTE 4A_243/2018 del 17 dicembre 2018</w:t>
      </w:r>
    </w:p>
    <w:p>
      <w:pPr>
        <w:pStyle w:val="Heading2"/>
      </w:pPr>
      <w:r>
        <w:t>Regeste</w:t>
      </w:r>
    </w:p>
    <w:p>
      <w:r>
        <w:t>Résumé: FAIT CONTESTÉ La mention «rapport soit aux pièces» n'équivaut pas à la contestation du fait concerné, lequel n'a dès lors pas besoin d'être prouvé.</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