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4A_22/2024 vom 20. März 2024</w:t>
      </w:r>
    </w:p>
    <w:p>
      <w:r>
        <w:t>GE Cour de justice, 2024-03-20, FR</w:t>
      </w:r>
    </w:p>
    <w:p>
      <w:r>
        <w:rPr>
          <w:b/>
        </w:rPr>
        <w:t xml:space="preserve">Quelle: </w:t>
      </w:r>
      <w:r>
        <w:t>https://mcp.opencaselaw.ch/entscheid/ge_gerichte_4A_22_2024</w:t>
      </w:r>
    </w:p>
    <w:p>
      <w:r>
        <w:t>FR: GE_GERICHTE 4A_22/2024 du 20 mars 2024</w:t>
      </w:r>
    </w:p>
    <w:p>
      <w:r>
        <w:t>IT: GE_GERICHTE 4A_22/2024 del 20 marzo 2024</w:t>
      </w:r>
    </w:p>
    <w:p>
      <w:pPr>
        <w:pStyle w:val="Heading2"/>
      </w:pPr>
      <w:r>
        <w:t>Regeste</w:t>
      </w:r>
    </w:p>
    <w:p>
      <w:r>
        <w:t>Résumé: TRANSACTION COUPLEE 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Cette norme vise à protéger les locataires, en empêchant le bailleur de profiter de leur intérêt à conclure ou à poursuivre un contrat de bail pour leur imposer contre leur gré d’autres actes juridiques étrangers au bail. Il n’y a en revanche pas de transaction couplée abusive lorsque le contrat est directement lié à l’utilisation de la chose. Ainsi, un lien suffisant est établi lorsque le locataire achète du mobilier ou du matériel pour l’exploitation d’un commerce exploité dans le local loué.</w:t>
      </w:r>
    </w:p>
    <w:p>
      <w:pPr>
        <w:pStyle w:val="Heading2"/>
      </w:pPr>
      <w:r>
        <w:t>Volltext</w:t>
      </w:r>
    </w:p>
    <w:p>
      <w:r>
        <w:t>Résumé: TRANSACTION COUPLEE Selon l’art. 254 CO,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Cette norme vise à protéger les locataires, en empêchant le bailleur de profiter de leur intérêt à conclure ou à poursuivre un contrat de bail pour leur imposer contre leur gré d’autres actes juridiques étrangers au bail. Il n’y a en revanche pas de transaction couplée abusive lorsque le contrat est directement lié à l’utilisation de la chose. Ainsi, un lien suffisant est établi lorsque le locataire achète du mobilier ou du matériel pour l’exploitation d’un commerce exploité dans le local loué.</w:t>
      </w:r>
    </w:p>
    <w:p>
      <w:r>
        <w:t>Descripteurs: Descripteurs: BAIL À LOYER;TRANSACTION COUPLÉE</w:t>
      </w:r>
    </w:p>
    <w:p>
      <w:r>
        <w:t>Normes: Normes: CO.254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