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4A_214/2007 vom 12. November 2007</w:t>
      </w:r>
    </w:p>
    <w:p>
      <w:r>
        <w:t>GE Cour de justice, 2007-11-12, FR</w:t>
      </w:r>
    </w:p>
    <w:p>
      <w:r>
        <w:rPr>
          <w:b/>
        </w:rPr>
        <w:t xml:space="preserve">Quelle: </w:t>
      </w:r>
      <w:r>
        <w:t>https://mcp.opencaselaw.ch/entscheid/ge_gerichte_4A_214_2007</w:t>
      </w:r>
    </w:p>
    <w:p>
      <w:r>
        <w:t>FR: GE_GERICHTE 4A_214/2007 du 12 novembre 2007</w:t>
      </w:r>
    </w:p>
    <w:p>
      <w:r>
        <w:t>IT: GE_GERICHTE 4A_214/2007 del 12 novembre 2007</w:t>
      </w:r>
    </w:p>
    <w:p>
      <w:pPr>
        <w:pStyle w:val="Heading2"/>
      </w:pPr>
      <w:r>
        <w:t>Regeste</w:t>
      </w:r>
    </w:p>
    <w:p>
      <w:r>
        <w:t>Résumé: CONTESTATION DU LOYER INITIAL - OFFRE DE PREUVE DU BAILLEUR - MAXIME INQUISITOIRE En cas de nullité partielle du contrat, le juge doit, si les offres de preuve du bailleur sont insuffisantes (in casu : un seul exemple comparatif peut être retenu sur les 5 exemples produits), l'inviter à produire les pièces permettant un calcul de rendement ou la comparaison de logements dans le quartier.</w:t>
      </w:r>
    </w:p>
    <w:p>
      <w:pPr>
        <w:pStyle w:val="Heading2"/>
      </w:pPr>
      <w:r>
        <w:t>Volltext</w:t>
      </w:r>
    </w:p>
    <w:p>
      <w:r>
        <w:t>Résumé: CONTESTATION DU LOYER INITIAL - OFFRE DE PREUVE DU BAILLEUR - MAXIME INQUISITOIRE En cas de nullité partielle du contrat, le juge doit, si les offres de preuve du bailleur sont insuffisantes (in casu : un seul exemple comparatif peut être retenu sur les 5 exemples produits), l'inviter à produire les pièces permettant un calcul de rendement ou la comparaison de logements dans le quartier.</w:t>
      </w:r>
    </w:p>
    <w:p>
      <w:r>
        <w:t>Descripteurs: Descripteurs: BAIL A LOYER; PROCEDURE; LOYER INITIAL; LOYER USUEL; OFFRE DE PREUVE</w:t>
      </w:r>
    </w:p>
    <w:p>
      <w:r>
        <w:t>Normes: Normes: CO.269; CO.270; CO.274d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