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4A_204/2021 vom 7. Juni 2021</w:t>
      </w:r>
    </w:p>
    <w:p>
      <w:r>
        <w:t>GE Cour de justice, 2021-06-07, FR</w:t>
      </w:r>
    </w:p>
    <w:p>
      <w:r>
        <w:rPr>
          <w:b/>
        </w:rPr>
        <w:t xml:space="preserve">Quelle: </w:t>
      </w:r>
      <w:r>
        <w:t>https://mcp.opencaselaw.ch/entscheid/ge_gerichte_4A_204_2021</w:t>
      </w:r>
    </w:p>
    <w:p>
      <w:r>
        <w:t>FR: GE_GERICHTE 4A_204/2021 du 7 juin 2021</w:t>
      </w:r>
    </w:p>
    <w:p>
      <w:r>
        <w:t>IT: GE_GERICHTE 4A_204/2021 del 7 giugno 2021</w:t>
      </w:r>
    </w:p>
    <w:p>
      <w:pPr>
        <w:pStyle w:val="Heading2"/>
      </w:pPr>
      <w:r>
        <w:t>Regeste</w:t>
      </w:r>
    </w:p>
    <w:p>
      <w:r>
        <w:t>Résumé: PROLONGATION DU BAIL - DURÉE - MARGE D'APPRÉCIATION Lorsque le locataire demande une prolongation de bail (art. 272 CO), le tribunal dispose d’une grande marge d’appréciation pour décider du type et de la durée de la prolongation à accorder. Il ne viole pas son pouvoir d’appréciation en accordant une seule prolongation définitive.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