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4A_199/2022 vom 20. September 2022</w:t>
      </w:r>
    </w:p>
    <w:p>
      <w:r>
        <w:t>GE Cour de justice, 2022-09-20, FR</w:t>
      </w:r>
    </w:p>
    <w:p>
      <w:r>
        <w:rPr>
          <w:b/>
        </w:rPr>
        <w:t xml:space="preserve">Quelle: </w:t>
      </w:r>
      <w:r>
        <w:t>https://mcp.opencaselaw.ch/entscheid/ge_gerichte_4A_199_2022</w:t>
      </w:r>
    </w:p>
    <w:p>
      <w:r>
        <w:t>FR: GE_GERICHTE 4A_199/2022 du 20 septembre 2022</w:t>
      </w:r>
    </w:p>
    <w:p>
      <w:r>
        <w:t>IT: GE_GERICHTE 4A_199/2022 del 20 settembre 2022</w:t>
      </w:r>
    </w:p>
    <w:p>
      <w:pPr>
        <w:pStyle w:val="Heading2"/>
      </w:pPr>
      <w:r>
        <w:t>Regeste</w:t>
      </w:r>
    </w:p>
    <w:p>
      <w:r>
        <w:t>Résumé: PROCEDURE SIMPLIFIEE - ANNOTATION D'UN BAIL AU REGISTRE FONCIER Les litiges relatifs à l'annotation au registre foncier des baux à loyer d'habitations et de locaux commerciaux selon l'art. 261b CO relèvent de la notion de "protection contre les congés " au sens de l'art. 243 al. 2 lit. c CPC. La procédure simplifiée (art. 243 ss. CPC) y est dès lors applicable, indépendamment de la valeur litigieuse (art. 243 al. 3 CPC). En effet, le sens et le but de l'annotation (produisant les effets d'une obligation réelle) selon l'art. 261b CO consistent aujourd'hui essentiellement à rendre impossible la résiliation du bail par le nouveau propriétaire pour ses propres besoins, fondée sur l'art. 261 al. 2 let. a CO. L'annotation d'un bail est donc devenue en substance une institution de protection (préventive) contre les congés. Il est donc conforme à la jurisprudence large du TF qu'un litige relatif à l'annotation d'un bail au registre foncier concerne la protection contre les congés au sens de l'art. 243 al. 2 lit. c CPC.</w:t>
      </w:r>
    </w:p>
    <w:p>
      <w:pPr>
        <w:pStyle w:val="Heading2"/>
      </w:pPr>
      <w:r>
        <w:t>Volltext</w:t>
      </w:r>
    </w:p>
    <w:p>
      <w:r>
        <w:t>Résumé: PROCEDURE SIMPLIFIEE - ANNOTATION D'UN BAIL AU REGISTRE FONCIER Les litiges relatifs à l'annotation au registre foncier des baux à loyer d'habitations et de locaux commerciaux selon l'art. 261b CO relèvent de la notion de "protection contre les congés " au sens de l'art. 243 al. 2 lit. c CPC. La procédure simplifiée (art. 243 ss. CPC) y est dès lors applicable, indépendamment de la valeur litigieuse (art. 243 al. 3 CPC). En effet, le sens et le but de l'annotation (produisant les effets d'une obligation réelle) selon l'art. 261b CO consistent aujourd'hui essentiellement à rendre impossible la résiliation du bail par le nouveau propriétaire pour ses propres besoins, fondée sur l'art. 261 al. 2 let. a CO. L'annotation d'un bail est donc devenue en substance une institution de protection (préventive) contre les congés. Il est donc conforme à la jurisprudence large du TF qu'un litige relatif à l'annotation d'un bail au registre foncier concerne la protection contre les congés au sens de l'art. 243 al. 2 lit. c CPC.</w:t>
      </w:r>
    </w:p>
    <w:p>
      <w:r>
        <w:t>Descripteurs: Descripteurs: BAIL À LOYER;ANNOTATION;REGISTRE FONCIER</w:t>
      </w:r>
    </w:p>
    <w:p>
      <w:r>
        <w:t>Normes: Normes: CPC.243.al2.letc; CO.261b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