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4A_189/2011 vom 4. Juli 2011</w:t>
      </w:r>
    </w:p>
    <w:p>
      <w:r>
        <w:t>GE Cour de justice, 2011-07-04, FR</w:t>
      </w:r>
    </w:p>
    <w:p>
      <w:r>
        <w:rPr>
          <w:b/>
        </w:rPr>
        <w:t xml:space="preserve">Quelle: </w:t>
      </w:r>
      <w:r>
        <w:t>https://mcp.opencaselaw.ch/entscheid/ge_gerichte_4A_189_2011</w:t>
      </w:r>
    </w:p>
    <w:p>
      <w:r>
        <w:t>FR: GE_GERICHTE 4A_189/2011 du 4 juillet 2011</w:t>
      </w:r>
    </w:p>
    <w:p>
      <w:r>
        <w:t>IT: GE_GERICHTE 4A_189/2011 del 4 luglio 2011</w:t>
      </w:r>
    </w:p>
    <w:p>
      <w:pPr>
        <w:pStyle w:val="Heading2"/>
      </w:pPr>
      <w:r>
        <w:t>Regeste</w:t>
      </w:r>
    </w:p>
    <w:p>
      <w:r>
        <w:t>Résumé: RESILIATION EXTRAORDINAIRE ET ORDINAIRE Sur le principe, il faut reconnaître, avec la doctrine, la possibilité de signifier une deuxième résiliation "subsidiaire", appelée à déployer ses effets uniquement si le premier congé n'est pas valable.</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