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4A_164/2020 vom 2. Juni 2020</w:t>
      </w:r>
    </w:p>
    <w:p>
      <w:r>
        <w:t>GE Cour de justice, 2020-06-02, FR</w:t>
      </w:r>
    </w:p>
    <w:p>
      <w:r>
        <w:rPr>
          <w:b/>
        </w:rPr>
        <w:t xml:space="preserve">Quelle: </w:t>
      </w:r>
      <w:r>
        <w:t>https://mcp.opencaselaw.ch/entscheid/ge_gerichte_4A_164_2020</w:t>
      </w:r>
    </w:p>
    <w:p>
      <w:r>
        <w:t>FR: GE_GERICHTE 4A_164/2020 du 2 juin 2020</w:t>
      </w:r>
    </w:p>
    <w:p>
      <w:r>
        <w:t>IT: GE_GERICHTE 4A_164/2020 del 2 giugno 2020</w:t>
      </w:r>
    </w:p>
    <w:p>
      <w:pPr>
        <w:pStyle w:val="Heading2"/>
      </w:pPr>
      <w:r>
        <w:t>Regeste</w:t>
      </w:r>
    </w:p>
    <w:p>
      <w:r>
        <w:t>Résumé: CONTRAT SIMULÉ - PRINCIPE DE LA CONFIANCE Il y a simulation lorsque deux ou plusieurs personnes créent délibérément l'apparence qu'un contrat est conclu entre elles alors que ce contrat diverge de leur réelle et commune intention. Le contrat simulé est nul et il n'oblige donc pas les participants. Le principe de la confiance est déterminant dans l'interprétation des manifestations de volonté entre cocontractants.</w:t>
      </w:r>
    </w:p>
    <w:p>
      <w:pPr>
        <w:pStyle w:val="Heading2"/>
      </w:pPr>
      <w:r>
        <w:t>Volltext</w:t>
      </w:r>
    </w:p>
    <w:p>
      <w:r>
        <w:t>Résumé: CONTRAT SIMULÉ - PRINCIPE DE LA CONFIANCE Il y a simulation lorsque deux ou plusieurs personnes créent délibérément l'apparence qu'un contrat est conclu entre elles alors que ce contrat diverge de leur réelle et commune intention. Le contrat simulé est nul et il n'oblige donc pas les participants. Le principe de la confiance est déterminant dans l'interprétation des manifestations de volonté entre cocontractants.</w:t>
      </w:r>
    </w:p>
    <w:p>
      <w:r>
        <w:t>Descripteurs: Descripteurs: BAIL À LOYER;CONCLUSION DU CONTRAT;SIMULATION;NULLITÉ;PRINCIPE DE LA CONFIANCE(INTERPRÉTATION DU CONTRAT)</w:t>
      </w:r>
    </w:p>
    <w:p>
      <w:r>
        <w:t>Normes: Normes: CO.18;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