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4A_163/2007 vom 8. August 2007</w:t>
      </w:r>
    </w:p>
    <w:p>
      <w:r>
        <w:t>GE Cour de justice, 2007-08-08, FR</w:t>
      </w:r>
    </w:p>
    <w:p>
      <w:r>
        <w:rPr>
          <w:b/>
        </w:rPr>
        <w:t xml:space="preserve">Quelle: </w:t>
      </w:r>
      <w:r>
        <w:t>https://mcp.opencaselaw.ch/entscheid/ge_gerichte_4A_163_2007</w:t>
      </w:r>
    </w:p>
    <w:p>
      <w:r>
        <w:t>FR: GE_GERICHTE 4A_163/2007 du 8 août 2007</w:t>
      </w:r>
    </w:p>
    <w:p>
      <w:r>
        <w:t>IT: GE_GERICHTE 4A_163/2007 del 8 agosto 2007</w:t>
      </w:r>
    </w:p>
    <w:p>
      <w:pPr>
        <w:pStyle w:val="Heading2"/>
      </w:pPr>
      <w:r>
        <w:t>Regeste</w:t>
      </w:r>
    </w:p>
    <w:p>
      <w:r>
        <w:t>Résumé: PAS DE CONSIGNATION DE LOYER EN CAS DE NUISANCES DUES À DES TRAVAUX DE RÉNOVATION Dans le cas où le bailleur a entrepris de rénover son bâtiment et où le locataire en subit des nuisances, on ne se trouve pas dans l'hypothèse où le locataire exige des travaux et où il faudrait faire pression sur le bailleur, par la consignation du loyer, pour qu'il exécute les travaux demandés. La doctrine en déduit logiquement que la consignation est exclue lorsque le locataire se plaint des nuisances causées par des travaux de rénovation (David LACHAT, Le bail à loyer, Lausanne 1997, p. 179 et 196; Renate WEY, La consignation du loyer, thèse Lausanne 1995, n. 290 p. 74; Martin ZÜST, Die Mängelrechte des Mieters von Wohn- und Geschäftsräumen, thèse St-Gall 1992, n. 475, p. 283). Cette interprétation est encore confirmée par le fait que l'art. 260 al. 2 CO énumère quels sont les moyens du locataire qui sont réservés en cas de rénovation, sans mentionner la consignation.</w:t>
      </w:r>
    </w:p>
    <w:p>
      <w:pPr>
        <w:pStyle w:val="Heading2"/>
      </w:pPr>
      <w:r>
        <w:t>Volltext</w:t>
      </w:r>
    </w:p>
    <w:p>
      <w:r>
        <w:t>Résumé: PAS DE CONSIGNATION DE LOYER EN CAS DE NUISANCES DUES À DES TRAVAUX DE RÉNOVATION Dans le cas où le bailleur a entrepris de rénover son bâtiment et où le locataire en subit des nuisances, on ne se trouve pas dans l'hypothèse où le locataire exige des travaux et où il faudrait faire pression sur le bailleur, par la consignation du loyer, pour qu'il exécute les travaux demandés. La doctrine en déduit logiquement que la consignation est exclue lorsque le locataire se plaint des nuisances causées par des travaux de rénovation (David LACHAT, Le bail à loyer, Lausanne 1997, p. 179 et 196; Renate WEY, La consignation du loyer, thèse Lausanne 1995, n. 290 p. 74; Martin ZÜST, Die Mängelrechte des Mieters von Wohn- und Geschäftsräumen, thèse St-Gall 1992, n. 475, p. 283). Cette interprétation est encore confirmée par le fait que l'art. 260 al. 2 CO énumère quels sont les moyens du locataire qui sont réservés en cas de rénovation, sans mentionner la consignation.</w:t>
      </w:r>
    </w:p>
    <w:p>
      <w:r>
        <w:t>Descripteurs: Descripteurs: BAIL A LOYER; CONSIGNATION EN JUSTICE; RENOVATION D'IMMEUBLE; DEFAUT DE LA CHOSE</w:t>
      </w:r>
    </w:p>
    <w:p>
      <w:r>
        <w:t>Normes: Normes: CO.259g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