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4A_147/2016 vom 12. September 2016</w:t>
      </w:r>
    </w:p>
    <w:p>
      <w:r>
        <w:t>GE Cour de justice, 2016-09-12, FR</w:t>
      </w:r>
    </w:p>
    <w:p>
      <w:r>
        <w:rPr>
          <w:b/>
        </w:rPr>
        <w:t xml:space="preserve">Quelle: </w:t>
      </w:r>
      <w:r>
        <w:t>https://mcp.opencaselaw.ch/entscheid/ge_gerichte_4A_147_2016</w:t>
      </w:r>
    </w:p>
    <w:p>
      <w:r>
        <w:t>FR: GE_GERICHTE 4A_147/2016 du 12 septembre 2016</w:t>
      </w:r>
    </w:p>
    <w:p>
      <w:r>
        <w:t>IT: GE_GERICHTE 4A_147/2016 del 12 settembre 2016</w:t>
      </w:r>
    </w:p>
    <w:p>
      <w:pPr>
        <w:pStyle w:val="Heading2"/>
      </w:pPr>
      <w:r>
        <w:t>Regeste</w:t>
      </w:r>
    </w:p>
    <w:p>
      <w:r>
        <w:t>Résumé: CALCUL DE RENDEMENT - VALEUR DE L'IMMEUBLE - DÉCÈS DU PROPRIÉTAIRE A la différence d'une acquisition par acte entre vifs, l'acquisition par succession ne saurait entraîner de modification des bases de calcul. Les héritiers succèdent au de cujus et ne peuvent prétendre qu'au rendement admissible des investissements faits par le de cujus lui-même; en particulier, la valeur vénale de l'immeuble au décès, respectivement au moment de l'acquisition par les héritiers est sans pertinence pour déterminer le loyer admissible. La situation en cas d'acquisition par succession diffère de celle en cas d'acquisition entre vifs, lors du partage ultérieur de la succession.</w:t>
      </w:r>
    </w:p>
    <w:p>
      <w:pPr>
        <w:pStyle w:val="Heading2"/>
      </w:pPr>
      <w:r>
        <w:t>Volltext</w:t>
      </w:r>
    </w:p>
    <w:p>
      <w:r>
        <w:t>Résumé: CALCUL DE RENDEMENT - VALEUR DE L'IMMEUBLE - DÉCÈS DU PROPRIÉTAIRE A la différence d'une acquisition par acte entre vifs, l'acquisition par succession ne saurait entraîner de modification des bases de calcul. Les héritiers succèdent au de cujus et ne peuvent prétendre qu'au rendement admissible des investissements faits par le de cujus lui-même; en particulier, la valeur vénale de l'immeuble au décès, respectivement au moment de l'acquisition par les héritiers est sans pertinence pour déterminer le loyer admissible. La situation en cas d'acquisition par succession diffère de celle en cas d'acquisition entre vifs, lors du partage ultérieur de la succession.</w:t>
      </w:r>
    </w:p>
    <w:p>
      <w:r>
        <w:t>Descripteurs: Descripteurs: BAIL À LOYER ; LOYER ; CALCUL; RENDEMENT NET ; FONDS PROPRES</w:t>
      </w:r>
    </w:p>
    <w:p>
      <w:r>
        <w:t>Normes: Normes: CO.269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