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4A_134/2018 vom 1. Juni 2018</w:t>
      </w:r>
    </w:p>
    <w:p>
      <w:r>
        <w:t>GE Cour de justice, 2018-06-01, FR</w:t>
      </w:r>
    </w:p>
    <w:p>
      <w:r>
        <w:rPr>
          <w:b/>
        </w:rPr>
        <w:t xml:space="preserve">Quelle: </w:t>
      </w:r>
      <w:r>
        <w:t>https://mcp.opencaselaw.ch/entscheid/ge_gerichte_4A_134_2018</w:t>
      </w:r>
    </w:p>
    <w:p>
      <w:r>
        <w:t>FR: GE_GERICHTE 4A_134/2018 du 1 juin 2018</w:t>
      </w:r>
    </w:p>
    <w:p>
      <w:r>
        <w:t>IT: GE_GERICHTE 4A_134/2018 del 1 giugno 2018</w:t>
      </w:r>
    </w:p>
    <w:p>
      <w:pPr>
        <w:pStyle w:val="Heading2"/>
      </w:pPr>
      <w:r>
        <w:t>Regeste</w:t>
      </w:r>
    </w:p>
    <w:p>
      <w:r>
        <w:t>Résumé: DÉTERMINATION DES FRAIS ACCESSOIRES - SYSTÈME DE CLIMATISATION Les frais liés à un système de climatisation sont des frais accessoires au sens de l'art. 257b al. 1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