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4A_133/2020 vom 22. Juli 2020</w:t>
      </w:r>
    </w:p>
    <w:p>
      <w:r>
        <w:t>GE Cour de justice, 2020-07-22, FR</w:t>
      </w:r>
    </w:p>
    <w:p>
      <w:r>
        <w:rPr>
          <w:b/>
        </w:rPr>
        <w:t xml:space="preserve">Quelle: </w:t>
      </w:r>
      <w:r>
        <w:t>https://mcp.opencaselaw.ch/entscheid/ge_gerichte_4A_133_2020</w:t>
      </w:r>
    </w:p>
    <w:p>
      <w:r>
        <w:t>FR: GE_GERICHTE 4A_133/2020 du 22 juillet 2020</w:t>
      </w:r>
    </w:p>
    <w:p>
      <w:r>
        <w:t>IT: GE_GERICHTE 4A_133/2020 del 22 luglio 2020</w:t>
      </w:r>
    </w:p>
    <w:p>
      <w:pPr>
        <w:pStyle w:val="Heading2"/>
      </w:pPr>
      <w:r>
        <w:t>Regeste</w:t>
      </w:r>
    </w:p>
    <w:p>
      <w:r>
        <w:t>Résumé: PROLONGATION - COVID-19 La pandémie du Covid-19 est un fait notoire. Dans le cas d’espèce, elle ne permet pas d’apporter une appréciation différente au regard de l’art. 272 al. 1 et 2 CO concernant la prolongation du bail à loyer. Cette circonstance pourra – cas échéant – être prise en compte au stade de l’exécution forcée du jugement.</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