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1P.254/2005 vom 30. August 2005</w:t>
      </w:r>
    </w:p>
    <w:p>
      <w:r>
        <w:t>GE Cour de justice, 2005-08-30, FR</w:t>
      </w:r>
    </w:p>
    <w:p>
      <w:r>
        <w:rPr>
          <w:b/>
        </w:rPr>
        <w:t xml:space="preserve">Quelle: </w:t>
      </w:r>
      <w:r>
        <w:t>https://mcp.opencaselaw.ch/entscheid/ge_gerichte_1P.254_2005</w:t>
      </w:r>
    </w:p>
    <w:p>
      <w:r>
        <w:t>FR: GE_GERICHTE 1P.254/2005 du 30 août 2005</w:t>
      </w:r>
    </w:p>
    <w:p>
      <w:r>
        <w:t>IT: GE_GERICHTE 1P.254/2005 del 30 agosto 2005</w:t>
      </w:r>
    </w:p>
    <w:p>
      <w:pPr>
        <w:pStyle w:val="Heading2"/>
      </w:pPr>
      <w:r>
        <w:t>Regeste</w:t>
      </w:r>
    </w:p>
    <w:p>
      <w:r>
        <w:t>Résumé: RECEVABILITÉ D'UN ACTE TRANSMIS PAR E-MAIL Les autorités cantonales peuvent sans arbitraire ni formalisme excessif déclarer irrecevables les actes transmis par courrier électronique, en l'absence de signature manuscrite. Toutefois, un délai supplémentaire doit être accordé lorsque l'acte présente un vice réparable, à moins que le vice ne soit volontaire, savoir si l'auteur de l'acte ne pouvait en ignorer l'irrégularité. Pratiquement, seules les communications par voie électronique provenant de laïcs donneront lieu à octroi d'un délai supplémentaire, tout avocat ou juriste devant savoir qu'un acte adressé à une autorité doit être muni d'une signature originale.</w:t>
      </w:r>
    </w:p>
    <w:p>
      <w:pPr>
        <w:pStyle w:val="Heading2"/>
      </w:pPr>
      <w:r>
        <w:t>Volltext</w:t>
      </w:r>
    </w:p>
    <w:p>
      <w:r>
        <w:t>Résumé: RECEVABILITÉ D'UN ACTE TRANSMIS PAR E-MAIL Les autorités cantonales peuvent sans arbitraire ni formalisme excessif déclarer irrecevables les actes transmis par courrier électronique, en l'absence de signature manuscrite. Toutefois, un délai supplémentaire doit être accordé lorsque l'acte présente un vice réparable, à moins que le vice ne soit volontaire, savoir si l'auteur de l'acte ne pouvait en ignorer l'irrégularité. Pratiquement, seules les communications par voie électronique provenant de laïcs donneront lieu à octroi d'un délai supplémentaire, tout avocat ou juriste devant savoir qu'un acte adressé à une autorité doit être muni d'une signature originale.</w:t>
      </w:r>
    </w:p>
    <w:p>
      <w:r>
        <w:t>Descripteurs: Descripteurs: BAIL A LOYER; PROCEDURE; CONDITION DE RECEVABILITE; SIGNATURE; DELAI FIXE PAR LE JUGE; FORMALISME EXCESSIF</w:t>
      </w:r>
    </w:p>
    <w:p>
      <w:r>
        <w:t>Normes: Normes: LPC.7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