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81 vom 20. Januar 2025</w:t>
      </w:r>
    </w:p>
    <w:p>
      <w:r>
        <w:t>FR Kantonsgericht, 2025-01-20, FR</w:t>
      </w:r>
    </w:p>
    <w:p>
      <w:r>
        <w:rPr>
          <w:b/>
        </w:rPr>
        <w:t xml:space="preserve">Quelle: </w:t>
      </w:r>
      <w:r>
        <w:t>https://mcp.opencaselaw.ch/entscheid/fr_gerichte_608_2024_81</w:t>
      </w:r>
    </w:p>
    <w:p>
      <w:r>
        <w:t>FR: FR_GERICHTE 608 2024 81 du 20 janvier 2025</w:t>
      </w:r>
    </w:p>
    <w:p>
      <w:r>
        <w:t>IT: FR_GERICHTE 608 2024 81 del 20 gennaio 2025</w:t>
      </w:r>
    </w:p>
    <w:p>
      <w:pPr>
        <w:pStyle w:val="Heading2"/>
      </w:pPr>
      <w:r>
        <w:t>Regeste</w:t>
      </w:r>
    </w:p>
    <w:p>
      <w:r>
        <w:t>Arrêt de la IIe Cour des assurances sociales du Tribunal cantonal | Invalidenversicherung</w:t>
      </w:r>
    </w:p>
    <w:p>
      <w:pPr>
        <w:pStyle w:val="Heading2"/>
      </w:pPr>
      <w:r>
        <w:t>Erwägungen</w:t>
      </w:r>
    </w:p>
    <w:p>
      <w:r>
        <w:rPr>
          <w:b/>
        </w:rPr>
        <w:t>E. 1</w:t>
      </w:r>
    </w:p>
    <w:p>
      <w:r>
        <w:t>Procédure Interjeté en temps utile et dans les formes légales auprès de l’autorité judiciaire compétente par un assuré directement touché par la décision attaquée et dûment représenté, le recours est recevable.</w:t>
      </w:r>
    </w:p>
    <w:p>
      <w:r>
        <w:rPr>
          <w:b/>
        </w:rPr>
        <w:t>E. 2</w:t>
      </w:r>
    </w:p>
    <w:p>
      <w:r>
        <w:t>Droit transitoire</w:t>
      </w:r>
    </w:p>
    <w:p>
      <w:r>
        <w:rPr>
          <w:b/>
        </w:rPr>
        <w:t>E. 2.1</w:t>
      </w:r>
    </w:p>
    <w:p>
      <w:r>
        <w:t>Dans le cadre du développement continu de l'AI,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w:t>
      </w:r>
    </w:p>
    <w:p>
      <w:r>
        <w:t>Tribunal cantonal TC Page 4 de 10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c) énoncent que pour les bénéficiaires de rente dont le droit à la rente est né avant l’entrée en vigueur de la présente modification et qui avaient au moins 55 ans à l’entrée en vigueur de cette modification, l’ancien droit reste applicable.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rPr>
          <w:b/>
        </w:rPr>
        <w:t>E. 2.2</w:t>
      </w:r>
    </w:p>
    <w:p>
      <w:r>
        <w:t>En l'espèce, l'incapacité de travail durable serait survenue en mars 2020. Par ailleurs, la demande de prestation a été déposée en mai 2021. Cas échéant, la rente serait née au plus tôt fin novembre 2021, soit avant le 1er janvier 2022. En outre, l'assuré avait plus de 60 ans le 1er janvier 2022. Il s'ensuit que la cause est soumise à l'ancien droit.</w:t>
      </w:r>
    </w:p>
    <w:p>
      <w:r>
        <w:rPr>
          <w:b/>
        </w:rPr>
        <w:t>E. 3</w:t>
      </w:r>
    </w:p>
    <w:p>
      <w:r>
        <w:t>Règles relatives au droit à la rente</w:t>
      </w:r>
    </w:p>
    <w:p>
      <w:r>
        <w:rPr>
          <w:b/>
        </w:rPr>
        <w:t>E. 3.1</w:t>
      </w:r>
    </w:p>
    <w:p>
      <w:r>
        <w:t>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 ci n'est pas objectivement surmontable (art. 7 al. 2 LPGA).</w:t>
      </w:r>
    </w:p>
    <w:p>
      <w:r>
        <w:rPr>
          <w:b/>
        </w:rPr>
        <w:t>E. 3.2</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3.3</w:t>
      </w:r>
    </w:p>
    <w:p>
      <w:r>
        <w:t>Selon l'art. 28 al. 1 LAI, l'assuré a droit à une rente si sa capacité de gain ou sa capacité d'accomplir ses travaux habituels ne peut pas être rétablie, maintenue ou améliorée par des mesures</w:t>
      </w:r>
    </w:p>
    <w:p>
      <w:r>
        <w:t>Tribunal cantonal TC Page 5 de 10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3.1.1; arrêt TF 8C_46/2023 du 26 octobre 2023 consid. 3.2). 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l'Enquête suisse sur la structure des salaires (ESS). Dans ce cas, il convient de se fonder, en règle générale, sur les salaires mensuels indiqués dans la table TA1 (secteur privé), à la ligne "total". Toutefois, lorsque cela apparaît indiqué dans un cas concret pour permettre à l'assuré de mettre pleinement à profit sa capacité résiduelle de travail, il y a lieu de se référer aux salaires mensuels de secteurs particuliers (secteur 2 [production] ou 3 [services]), voire à des branches particulières. En outre, lorsque les circonstances du cas concret le justifient, on peut s'écarter de la table TA1 (secteur privé) pour se référer à une table portant sur les secteurs privé et public ensemble, si cela permet de fixer plus précisément le revenu d'invalide et que le secteur en question est adapté et exigible (ATF 148 V 174 consid. 6.2 et les références; arrêt 9C_780/2023 du 23 avril 2024 consid. 3.1).</w:t>
      </w:r>
    </w:p>
    <w:p>
      <w:r>
        <w:rPr>
          <w:b/>
        </w:rPr>
        <w:t>E. 4</w:t>
      </w:r>
    </w:p>
    <w:p>
      <w:r>
        <w:t>Règles relatives à la preuve et à l'instruction des demandes</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w:t>
      </w:r>
    </w:p>
    <w:p>
      <w:r>
        <w:rPr>
          <w:b/>
        </w:rPr>
        <w:t>E. 4.2</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w:t>
      </w:r>
    </w:p>
    <w:p>
      <w:r>
        <w:t>Tribunal cantonal TC Page 6 de 10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170s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rPr>
          <w:b/>
        </w:rPr>
        <w:t>E. 5</w:t>
      </w:r>
    </w:p>
    <w:p>
      <w:r>
        <w:t>Question litigieuse Est litigieuse la question du droit à la rente. Dans sa décision, l'OAI a retenu que le recourant était pleinement capable de travailler dans son activité habituelle, sur la base de l'expertise pluridisciplinaire du 17 juillet 2023 dont le recourant soutient qu'elle est erronée, puisqu'elle écarte une neuroborréliose chronique qui l'empêche de travailler. Il y a donc lieu d'examiner si l'OAI a correctement constaté les faits concernant l'état de santé du recourant ainsi que ses conséquences sur sa capacité de travail.</w:t>
      </w:r>
    </w:p>
    <w:p>
      <w:r>
        <w:t>Tribunal cantonal TC Page 7 de 10</w:t>
      </w:r>
    </w:p>
    <w:p>
      <w:r>
        <w:rPr>
          <w:b/>
        </w:rPr>
        <w:t>E. 6</w:t>
      </w:r>
    </w:p>
    <w:p>
      <w:r>
        <w:t>Discussion</w:t>
      </w:r>
    </w:p>
    <w:p>
      <w:r>
        <w:rPr>
          <w:b/>
        </w:rPr>
        <w:t>E. 6.1</w:t>
      </w:r>
    </w:p>
    <w:p>
      <w:r>
        <w:t>Remarques préliminaires D'un point de vue de l'assurance-invalidité, c'est l'atteinte à la santé et l'incapacité de travail qu'elle occasionne qui est déterminante. Par ailleurs, il n'est pas possible d'opérer une comparaison entre les faits de la présente cause et ceux de l'arrêt TC FR 605 2023 212 du 19 août 2024. En effet, cette affaire portait sur l'existence d'une maladie de Lyme tardive dont les frais médicaux consécutifs aux séquelles tardives devaient être pris en charge par l'assurance-accidents et non sur le caractère invalidant de cette maladie.</w:t>
      </w:r>
    </w:p>
    <w:p>
      <w:r>
        <w:rPr>
          <w:b/>
        </w:rPr>
        <w:t>E. 6.2</w:t>
      </w:r>
    </w:p>
    <w:p>
      <w:r>
        <w:t>Expertise pluridisciplinaire du 17 juillet 2023</w:t>
      </w:r>
    </w:p>
    <w:p>
      <w:r>
        <w:rPr>
          <w:b/>
        </w:rPr>
        <w:t>E. 6.2.1</w:t>
      </w:r>
    </w:p>
    <w:p>
      <w:r>
        <w:t>L'expert en médecine interne et l'expert psychiatre n'ont décrit aucune atteinte à la santé invalidante relevant de leur domaine de spécialité (dossier AI, p. 256 et 269-270).</w:t>
      </w:r>
    </w:p>
    <w:p>
      <w:r>
        <w:rPr>
          <w:b/>
        </w:rPr>
        <w:t>E. 6.2.2</w:t>
      </w:r>
    </w:p>
    <w:p>
      <w:r>
        <w:t>Selon l'expert neurologue, il existe un trouble de l'élocution sous la forme d'un bégaiement et un trouble de la déglutition en raison d'un ralentissement léger de motilité linguale et pharyngolaryngée ainsi que d'une hypertonie du sphincter œsophagien supérieur. Les fausses routes sont toutefois peu prononcées et bien gérées, car le recourant ne souffre ni d'atteinte pulmonaire ni de perte de poids. Sur le plan neuropsychologique, il existe certes quelques difficultés en attention soutenue, les fonctions cognitives étant toutefois conservées. Aucune atteinte neurologique n'est constatée. En particulier, une neuroborréliose est écartée, car les troubles présentés par le recourant ne s'expliquent pas par la borréliose en l'absence d'un diagnostic de borréliose avérée dans le passé. Selon l'expert neurologue, vu la prévalence des anticorps anti-borréliens dans la population générale suisse, une sérologie de Lyme n'est pas indiquée dans les cas de fatigue chronique, des plaintes non spécifiques et des plaintes neurologiques non spécifiques sans symptômes évocateurs d'une borréliose. Enfin, les tremblements de la main droite sont irréguliers et peuvent être distraits (dossier AI, p. 247-248).</w:t>
      </w:r>
    </w:p>
    <w:p>
      <w:r>
        <w:rPr>
          <w:b/>
        </w:rPr>
        <w:t>E. 6.2.3</w:t>
      </w:r>
    </w:p>
    <w:p>
      <w:r>
        <w:t>Quant à l'expert rhumatologue, il rapporte que le recourant a souffert d'une lombosciatique qui a régressé spontanément, bien qu'elle ait entraîné une incapacité de travail entre juin et novembre 2021. Il a écarté que cette lombosciatique soit due à la neuroborréliose, l'imputant à une protrusion discale en contact avec la racine de la première vertèbre sacrale et à une arthrose facettaire modérée. Il a enfin relevé une amélioration progressive globale du recourant (dossier AI, p. 278-279).</w:t>
      </w:r>
    </w:p>
    <w:p>
      <w:r>
        <w:rPr>
          <w:b/>
        </w:rPr>
        <w:t>E. 6.2.4</w:t>
      </w:r>
    </w:p>
    <w:p>
      <w:r>
        <w:t>Force est de constater que les critique du Dr E.________ et de la Dre F.________ ne portent que sur l'absence de diagnostic d'une neuroborréliose active. Ils ne contestent toutefois pas les constatations des experts. Or, même à retenir que le recourant souffrirait d'une neuroborréliose, les atteintes à la santé qu'elle induirait ne permettent pas de retenir une incapacité de travail du recourant. Au demeurant, il est douteux que le diagnostic du Dr E.________ soit fondé, dans la mesure où l'analyse sérologique de la microbiologiste G.________ du 1er février 2024 exclut une borréliose tardive (dossier AI, p. 348). Dans le même sens, le rapport d'analyse sérologique du 5 février 2020 mentionnait déjà qu'il y avait lieu d'évaluer le tableau clinique pour déterminer s'il s'agissait d'une infection active ou d'une cicatrice sérologique (dossier AI, p. 37).</w:t>
      </w:r>
    </w:p>
    <w:p>
      <w:r>
        <w:t>Tribunal cantonal TC Page 8 de 10 En outre, les experts neurologue et rhumatologue rappellent dans leur première prise de position du 5 février 2024 que la notion de neuroborréliose chronique n'est pas reconnue par la Société suisse d'infectiologie ou la Société allemande de neurologie parce que les bases scientifiques font défaut. Ils soulignent également que les arguments du Dr E.________ ne permettent pas d'écarter définitivement une maladie de Lyme, sans toutefois l'établir non plus (dossier AI, p. 330-331). Par la suite, dans sa prise de position du 25 mars 2024, l'expert neurologue expose de manière convaincante la raison pour laquelle il y a lieu d'écarter les critères diagnostics du Center of Diseases Control des États-Unis d'Amérique et de la Société canadienne de Lyme au profit de ceux établis dans les lignes directrices de la Société suisse d'infectiologie et de la Société allemande de neurologie. Les tiques véhiculant la borréliose sont en effet différentes en Europe, où elle est transmise par les espèces borrelia afzelii, borrelia bavarensis et borrelia garinii désignées ensemble comme borrelia burgdorferi sensu lato, que sur le continent nord-américain, où prédominent l'espèce borrelia burgdorferi sensu stricto. L'expert neurologue confirme en outre la pertinence de l'interprétation de la microbiologiste, car les marqueurs typiques d'une borréliose active ne se retrouvent pas dans les résultats du 1er février 2024 (dossier AI, p. 357). Dès lors que la première analyse sérologique du 5 février 2020 mentionne que le tableau clinique doit être évalué pour déterminer s'il s'agit d'une infection active ou d'une cicatrice sérologique, que la seconde analyse, avec ponction lombaire, écarte tout borréliose active et que l'expert neurologue ne retrouve pas les symptômes typiques de cette maladie, il n'y a pas lieu de douter des conclusions de ce dernier. Dans ce contexte, la lettre du 1er mai 2024 des Drs F.________ et E.________ (pièce 4 du recours) n'apporte aucun élément nouveau. Il en va de même de la détermination du 12 mai 2024, rédigée personnellement par le recourant. La majorité des corrections de l'expertise porte en effet sur des détails qui ont été simplifiés dans le compte-rendu de l'expert neurologue ou sur des éléments non-médicaux. Ainsi, le fait que les compétences en anglais aient été surestimées ou qu'il aurait été erronément retenu que le contrat de travail du recourant serait toujours en vigueur ne sont pas propres à remettre en cause les conclusions des experts. En outre, les experts ont correctement retenu l'âge du recourant et sa médication. L'âge erroné de 61 ans (au moment de l'expertise) ressort du mandat donné par l'OAI qui a intégralement été copié par les experts pour énoncer le cadre de leur expertise. En outre, l'expert interniste mentionne expressément que le recourant prend du Dafalgan 1g (dossier AI, p. 252). Les experts ne se sont donc pas basés sur des données médicales erronées. Enfin, les appréciations subjectives du recourant ne sont pas propres à remettre en cause les constatations objectives des expertises.</w:t>
      </w:r>
    </w:p>
    <w:p>
      <w:r>
        <w:rPr>
          <w:b/>
        </w:rPr>
        <w:t>E. 6.3</w:t>
      </w:r>
    </w:p>
    <w:p>
      <w:r>
        <w:t>Autres pièces médicales Les conclusions de l'expertise sont en outre confirmées par les autres pièces au dossier. Dans son rapport du 22 novembre 2023, le Dr H.________ confirme en effet que le status oto-rhino-laryngologique est globalement normal, même si les fausses routes n'ont pas été totalement éliminées et que le déséquilibre sur la gauche, en diminution, persiste. Il rapporte également le maintien du tremblement du bras droit (dossier AI, p. 350-351). Par ailleurs, selon le rapport médical du 31 mars 2022, les résultats des tests effectués par I.________, neuropsychologue, montrent que, malgré la fatigue importante du recourant, les ressources attentionnelles sont disponibles à leur niveau maximal et les difficultés se font peu sentir dans le cadre d'une évaluation réalisée dans un bureau calme, sans interférence et en situation d'interaction avec un interlocuteur unique (dossier AI, p. 101).</w:t>
      </w:r>
    </w:p>
    <w:p>
      <w:r>
        <w:t>Tribunal cantonal TC Page 9 de 10 Enfin, ni le rapport d'IRM du 11 mars 2020, ni celui du 9 août 2021 concernant la substance blanche du recourant n'attribue de manière définitive les lésions relevées, évocatrices d'une atteinte démyélinisante, à la neuroborréliose (dossier AI, p. 28 et 72). Il en va de même en ce qui concerne les douleurs lombaires, le rapport d'IRM du 19 octobre 2021 étant hésitant entre une radiculopathie et les séquelles de la borréliose (dossier AI, p. 122) et celui du 29 juin 2021 mentionnant expressément une discopathie sans l'attribuer à la neuroborréliose (dossier AI, p. 71). Les constatations des experts excluant la neuroborréliose et ses conséquences ne sont donc pas contredites par les rapports précités.</w:t>
      </w:r>
    </w:p>
    <w:p>
      <w:r>
        <w:rPr>
          <w:b/>
        </w:rPr>
        <w:t>E. 6.4</w:t>
      </w:r>
    </w:p>
    <w:p>
      <w:r>
        <w:t>État de fait retenu</w:t>
      </w:r>
    </w:p>
    <w:p>
      <w:r>
        <w:rPr>
          <w:b/>
        </w:rPr>
        <w:t>E. 6.4.1</w:t>
      </w:r>
    </w:p>
    <w:p>
      <w:r>
        <w:t>Au vu de ce qui précède, la Cour fait siennes les conclusions des experts. Elle retient que le recourant souffre d'un antécédent de maladie de Lyme avec cicatrice immunologique, un tremblement fonctionnel du membre supérieur droit, de possibles céphalées de tension et une lombosciatique en rémission avec un examen clinique normal. Ses limitations fonctionnelles sont l'interdiction du port de charge de plus de 10 kg à partir du sol et de 15 kg pour les charges proches du corps. L'activité usuelle de conseiller aux études est adaptée aux limitations fonctionnelles décrites. Aucune incapacité de travail n'est relevée, hormis entre juin et novembre 2021.</w:t>
      </w:r>
    </w:p>
    <w:p>
      <w:r>
        <w:rPr>
          <w:b/>
        </w:rPr>
        <w:t>E. 6.4.2</w:t>
      </w:r>
    </w:p>
    <w:p>
      <w:r>
        <w:t>L'expertise étant jugée probante, il n'y a ni lieu de renvoyer la cause à l'OAI pour qu'il ordonne la réalisation d'une nouvelle expertise, ni lieu de l'ordonner en procédure de recours. Le dossier est en effet complet pour statuer.</w:t>
      </w:r>
    </w:p>
    <w:p>
      <w:r>
        <w:rPr>
          <w:b/>
        </w:rPr>
        <w:t>E. 6.5</w:t>
      </w:r>
    </w:p>
    <w:p>
      <w:r>
        <w:t>Conclusions Sur la base des faits retenus par la Cour, l'incapacité totale de travail n'a duré que six mois, ce qui est insuffisant pour ouvrir le droit à la rente (art. 28 al. 1 let. b LAI a contrario). L'OAI a donc refusé à juste titre toute rente au recourant. Il s'ensuit la confirmation de la décision attaquée et le rejet du recours.</w:t>
      </w:r>
    </w:p>
    <w:p>
      <w:r>
        <w:rPr>
          <w:b/>
        </w:rPr>
        <w:t>E. 7</w:t>
      </w:r>
    </w:p>
    <w:p>
      <w:r>
        <w:t>Frais Vu le sort du recours, les frais de procédure, arrêtés à CHF 800.- (art. 69 al. 1bis LAI), sont mis à la charge de A.________. Ils sont compensés sur l'avance de frais versée. Pour le même motif, il n'est pas alloué d'indemnité de partie (art. 137 al. 1 a contrario du code cantonal de procédure et de juridiction administrative du 11 mai 1991; RSF 150.1). (dispositif en page suivante)</w:t>
      </w:r>
    </w:p>
    <w:p>
      <w:r>
        <w:t>Tribunal cantonal TC Page 10 de 10 la Cour arrête : I. Le recours est rejeté. Partant, la décision de l'Office de l'assurance-invalidité du canton de Fribourg du 30 avril 2024 est confirmée. II. Les frais de procédure, arrêtés à CHF 800.-, sont mis à la charge de A.________. Ils sont compensés avec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janvier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