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73 vom 14. März 2025</w:t>
      </w:r>
    </w:p>
    <w:p>
      <w:r>
        <w:t>FR Kantonsgericht, 2025-03-14, FR</w:t>
      </w:r>
    </w:p>
    <w:p>
      <w:r>
        <w:rPr>
          <w:b/>
        </w:rPr>
        <w:t xml:space="preserve">Quelle: </w:t>
      </w:r>
      <w:r>
        <w:t>https://mcp.opencaselaw.ch/entscheid/fr_gerichte_608_2024_73</w:t>
      </w:r>
    </w:p>
    <w:p>
      <w:r>
        <w:t>FR: FR_GERICHTE 608 2024 73 du 14 mars 2025</w:t>
      </w:r>
    </w:p>
    <w:p>
      <w:r>
        <w:t>IT: FR_GERICHTE 608 2024 73 del 14 marzo 2025</w:t>
      </w:r>
    </w:p>
    <w:p>
      <w:pPr>
        <w:pStyle w:val="Heading2"/>
      </w:pPr>
      <w:r>
        <w:t>Regeste</w:t>
      </w:r>
    </w:p>
    <w:p>
      <w:r>
        <w:t>Arrêt de la IIe Cour des assurances sociales du Tribunal cantonal | Invalidenversicherung</w:t>
      </w:r>
    </w:p>
    <w:p>
      <w:pPr>
        <w:pStyle w:val="Heading2"/>
      </w:pPr>
      <w:r>
        <w:t>Erwägungen</w:t>
      </w:r>
    </w:p>
    <w:p>
      <w:r>
        <w:rPr>
          <w:b/>
        </w:rPr>
        <w:t>E. 14</w:t>
      </w:r>
    </w:p>
    <w:p>
      <w:r>
        <w:t>décembre 2020 au 21 mars 2021 auprès de D.________ (phase d'intervention précoce) et a mis sur pied une expertise bidisciplinaire (rhumatologie et psychiatrie) auprès de E.________, par le biais de la plateforme SuisseMED@P. Celle-ci a été confiée au Dr F.________, spécialiste en psychiatrie et psychothérapie, et au Dr G.________, spécialiste en rhumatologie. Dans leur rapport du 20 octobre 2022, les experts concluent que l’assurée est en mesure de travailler à 100% dans une activité adaptée aux troubles rhumatologiques, la capacité de travail étant entière sur le plan psychiatrique. Par décision du 8 avril 2024, reprenant un projet de décision du 19 février 2024, l’OAI a rejeté la demande de prestations, se fondant sur des degrés d’invalidité de 1.47% jusqu’au 31 décembre 2023 et de 3.25% à partir du 1er janvier 2024, tous deux calculés selon la méthode de comparaison des revenus. C. Contre cette décision, l’assurée, représentée par Procap, interjette recours (608 2024 73) devant le Tribunal cantonal le 13 mai 2024, concluant, avec suite de frais et dépens, principalement, à la mise sur pied d’une expertise judiciaire, ou, subsidiairement, au renvoi du dossier pour instruction complémentaire et nouvelle décision. A l’appui de son recours, elle se plaint de ce que l’instruction n’ait pas investigué et pris en compte les maltraitances et les négligences graves qu’elle a subi avant l'âge de six ans et que le rapport d'expertise n’examine pas, non plus, les violences psychologiques, physiques et sexuelles dont elle a été victime pendant 20 ans de vie conjugale. Elle allègue aussi que les conclusions des experts sont insuffisamment étayées en ce qui concerne l’absence de pathologie et que l’expert (en psychiatrie) manque de compétences professionnelles. Parallèlement à son recours, elle requiert l’octroi de l’assistance judiciaire partielle (608 2024 74), limitée aux frais de justice.</w:t>
      </w:r>
    </w:p>
    <w:p>
      <w:r>
        <w:t>Tribunal cantonal TC Page 3 de 14 Dans sa détermination du 2 juillet 2024, l’OAI propose le rejet du recours. Dans sa détermination du 19 juillet 2024, la Caisse de pension, H.________, a déclaré qu'elle ne souhaitait pas se déterminer dans le dossier et qu'elle se remettait à la position défendue par l'OAI. Lors d’un second échange d’écritures, les parties campent sur leurs positions. Il sera fait état, lorsque nécessaire, des arguments présentés d’une manière plus détaillée dans les considérants en droit du présent arrêt. en droit 1. Le recours a été interjeté en temps utile et dans les formes légales auprès de l'autorité compétente à raison du lieu ainsi que de la matière. La recourante, dûment représentée, est en outre directement atteinte par la décision querellée et a dès lors un intérêt digne de protection à ce qu'elle soit, cas échéant, annulée ou modifiée. Partant, le recours est recevable. 2. 2.1.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t>Tribunal cantonal TC Page 4 de 14 2.2. Le 1er janvier 2024 est entrée en vigueur la modification du 18 octobre 2023 du RAI (RO 2023 635). Elle révise l'art. 26bis al. 3 RAI qui avait introduit avec effet au 1er janvier 2022 une nouvelle déduction forfaitaire de 10% sur le revenu d'invalide établi sur la base de l'Enquête suisse sur la structure des salaires (ESS), si, du fait de l’invalidité, l’assuré ne peut travailler qu’avec une capacité fonctionnelle au sens de l’art. 49 al. 1bis RAI de 50% ou moins. Dès le 1er janvier 2024, l'art. 26bis al. 3 RAI prévoit ainsi qu’une déduction de 10% est opérée sur la valeur statistique visée à l’art. 26 al. 2 RAI et que si, du fait de l’invalidité, l’assuré ne peut travailler qu’avec une capacité fonctionnelle au sens de l’art. 49 al. 1bis RAI de 50% ou moins, une déduction de 20% est opérée. L’art. 26bis al. 3 RAI ajoute en outre qu’aucune déduction supplémentaire n’est possible. A cet égard toutefois, dans un arrêt récent (arrêt TF 8C_823/2023 du 8 juillet 2024), le Tribunal fédéral a considéré que la réglementation, introduite début 2022 et en vigueur jusqu'à fin 2023, concernant l'évaluation du taux d'invalidité sur la base des salaires statistiques de l'ESS, est en partie contraire au droit fédéral et que les instruments pour corriger le salaire statistique de l'ESS déterminant dans un cas concret, afin de tenir compte de la situation de la personne assurée, en opérant dans certains cas une déduction forfaitaire, sont insuffisants. Si nécessaire, il convient donc de recourir en complément à la pratique du Tribunal fédéral en la matière appliquée jusqu'à présent (taux d'abattement jusqu'à 25% au maximum). Dans sa lettre circulaire AI n° 432 du 9 novembre 2023 (chiffre 2), l'Office fédéral des assurances sociales (OFAS) précise que tous les droits à la rente prenant naissance avant le 1er janvier 2024 sont régis par les dispositions du RAI dans sa version en vigueur jusqu’au 31 décembre 2023. Si le droit à la rente subsiste au-delà du 31 décembre 2023, les dispositions du RAI dans sa version en vigueur au 1er janvier 2024 sont applicables à partir de cette date. L’augmentation de la rente prend alors effet au 1er janvier 2024. S'agissant plus précisément des rentes calculées selon l'ancien droit faisant l'objet d'une révision fondée sur les dispositions transitoires du 18 octobre 2023, la lettre circulaire AI n° 432 ajoute (chiffre 4 let. c) que, si l'évaluation du taux d'invalidité sur la base des dispositions du RAI, dans sa version valable à partir du 1er janvier 2024, entraîne une modification du taux d'invalidité d'au moins 5 points de pourcentage, il y a lieu de passer au système de rente linéaire. Demeurent réservés les cas visés à la let. b al. 2 des dispositions transitoires de la modification de la LAI du 19 juin 2020, à savoir les cas où la modification du taux se traduirait par une baisse de la rente en cas d’augmentation du taux d’invalidité ou par une augmentation de la rente en cas de réduction du taux. 2.3. Compte tenu de ce qui précède, les nouvelles dispositions légales introduites dans le cadre du développement continu de l'AI et entrées en vigueur le 1er janvier 2022 ne sont pas applicables. La demande de prestations date de juin 2020 et la rente commence au plus tôt en décembre 2020, soit à l’échéance d’une période de six mois à compter de la date à laquelle elle a fait valoir son droit aux prestations (cf. art. 29 al. 1 LAI). Par ailleurs, il y aura lieu de calculer le taux d'invalidité en tenant compte de l'art. 26bis al. 3 RAI, dans sa version en vigueur jusqu'au 31 décembre 2023 en cas de modification de la capacité de travail et de gain, et dans tous les cas, pour la période à partir du 1er janvier 2024, en tenant compte de l’art. 26bis al. 3 RAI dans sa version révisée entrée en vigueur à cette date.</w:t>
      </w:r>
    </w:p>
    <w:p>
      <w:r>
        <w:t>Tribunal cantonal TC Page 5 de 14 3. 3.1.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3.2.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3.3.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w:t>
      </w:r>
    </w:p>
    <w:p>
      <w:r>
        <w:t>Tribunal cantonal TC Page 6 de 14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3.4.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w:t>
      </w:r>
    </w:p>
    <w:p>
      <w:r>
        <w:t>Tribunal cantonal TC Page 7 de 14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3.5.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 4.1.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4.2.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w:t>
      </w:r>
    </w:p>
    <w:p>
      <w:r>
        <w:t>Tribunal cantonal TC Page 8 de 14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4.3.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cf. arrêt TF 9C_25/2011 du 9 août 2011 consid. 6.2). Le principe constitutionnel de l'égalité de traitement commande de recourir aux salaires statistiques ressortant de l'ESS, sans tenir compte de données salariales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4.4.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w:t>
      </w:r>
    </w:p>
    <w:p>
      <w:r>
        <w:t>Tribunal cantonal TC Page 9 de 14 d'influencer l'étendue de l'invalidité, même s'ils rendent parfois difficile, voire impossible la recherche d'une place et, partant, l'utilisation de la capacité de travail résiduelle (arrêt du TF 8C_761/2014 du</w:t>
      </w:r>
    </w:p>
    <w:p>
      <w:r>
        <w:rPr>
          <w:b/>
        </w:rPr>
        <w:t>E. 15</w:t>
      </w:r>
    </w:p>
    <w:p>
      <w:r>
        <w:t>octobre 2015 consid. 3.2.2 et les références citées). 5. Pour fonder la décision litigieuse, l’OAI s’est référée au rapport d’expertise bidisciplinaire des Drs F.________ et G.________ daté du 20 octobre 2022. 5.1. Sur le plan rhumatologique, le Dr G.________ retient les diagnostics de status post chirurgie fracture du poignet droit, post tunnel carpien droit et post tendinopathie de l'épaule gauche. En raison de ces troubles, il estime que la recourante doit éviter de porter des charges de plus de 5 kg de façon répétée avec les deux poignets, de travailler avec les bras au-dessus de l'horizontale, notamment de l'épaule gauche, compte tenu des antécédents de tendinopathie, ainsi que de monter et descendre des échelles et des échafaudages. Elle doit alterner les différentes positions assis- debout compte tenu des plaintes rachidiennes cervicales et lombaires. En raison de ces limitations, il considère que la recourante ne peut plus travailler en tant que vendeuse, coiffeuse ou femme de ménage. En revanche, dans une activité adaptée, il considère qu’elle dispose d’une pleine capacité de travail tant en temps qu’en rendement. A cet égard, il estime qu’un reconditionnement progressif pourrait améliorer la situation. Au passage, il constate une divergence entre, d’un part, les plaintes rapportées comme invalidantes et incapacitantes et, d’autre part, ses propres constats lors de l’examen médical ainsi que les bilans radiologiques. 5.2. Sur le plan psychiatrique, le Dr F.________ note que la recourante a subi de la maltraitance physique et du dénigrement durant l’enfance ainsi que par ses conjoints. En revanche, il ne relève pas de viol ou d’abus sexuels. Il relève des difficultés à obtenir des réponses à ses questions, notamment sur le plan du traitement. A cet égard, il retient qu’il est composé de Trazodone (entre 50 et 150mg), de Vortioxétine (10mg), de Lorazépam (en réserve) ainsi que de tours en forêt. Il relève que les analyses de laboratoire montrent des résultats en dessous de la zone thérapeutique recommandée, ce qui suggère que la dose prise est insuffisante pour atteindre un effet thérapeutique optimal. Pour sa part, le suivi est mensuel tant auprès de la psychiatre que de la psychologue, auquel la recourante ajoute de la médecin alternative. Selon lui, ce suivi ne correspond pas aux symptômes exposés. Se référant à son entretien, il écarte le diagnostic d’état de stress post-traumatique (F43.1) en l’absence d’évocation par la recourante d’événements susceptibles d’occasionner un tel trouble (viol, guerre, accident grave) et en raison du fait que de tels troubles évoluent en principe vers la guérison. Il écarte également le diagnostic de trouble dépressif (F32) dès lors que la recourante ne présente pas de dépression, reste énergique, profite des plaisirs de la vie, se projette dans l’avenir et n’a jamais été hospitalisée en milieu psychiatrique. Le diagnostic de syndrome douloureux somatoforme (F45.4) n'est pas retenu faute de critères suffisants, précisant que la recourante, bien que bénéficiant de subsides sociaux et menant une vie oisive, ne présente ni détresse ni troubles psychosociaux majeurs. S’agissant des troubles de la personnalité (F60.7 et F60.31), ils se caractérisent par un comportement disharmonieux alors que la recourante a toujours correctement fonctionné jusqu’à ce jour. Il en conclut qu’elle est porteuse de traits pathologiques de personnalité d'un registre démonstratif et impulsif qui n'atteignent cependant pas le seuil de troubles spécifiques constitués (F60). Elle dispose de ressources et de soutien par ses proches et il n'existe pas de limitation uniforme des activités dans tous les domaines comparables de l'existence. Il souligne la</w:t>
      </w:r>
    </w:p>
    <w:p>
      <w:r>
        <w:t>Tribunal cantonal TC Page 10 de 14 présence d’incohérences. Il en conclut que la recourante n’est pas limitée dans son travail par une pathologie psychiatrique. 5.3. Il ressort de ce qui précède que les experts ont pu se prononcer en pleine connaissance du dossier de la recourante, étant précisé qu’ils ont eu celui-ci à leur disposition. Ils ont, par ailleurs, pu la rencontrer directement. A cette occasion, la recourante a bien pu détailler ses troubles et difficultés, lesquelles sont dûment relevés par les deux experts, lesquels usent parfois de guillemets pour la citer. Pour leur part, les deux experts ont pu procéder à un examen complet de la recourante. Se fondant sur l’ensemble de ces éléments, ils présentent des conclusions suffisamment motivées, expliquant ce qui les conduit à retenir ou non un diagnostic ou des limitations fonctionnelles. Sur le plan psychiatrique en particulier, on relève que l’expert a fondé son raisonnement sur les critères reconnus par la jurisprudence pour de tels troubles. Force est de constater que, tant sur le plan formel que matériel, l’expertise apparaît pleinement probante et convaincante. 6. 6.1. La recourante ne met pas en cause les conclusions et raisonnement du Dr G.________, lequel retient une pleine capacité de travail sur le plan somatique. Cette appréciation apparaît aller dans le sens des autres médecins somaticiens interrogés, lesquels ne font pas état d’une incapacité de travail (dossier OAI, p. 114, 118, 131, 133, 141-153, 264, 267 et 268). 6.2. En revanche, sur le plan psychiatrique, la recourante conteste les conclusions du Dr F.________, se référant pour l’essentiel aux raisonnements de la Dre I.________, spécialiste en psychiatrie et psychothérapie, dans un rapport du 1er juin 2023 (dossier OAI, p. 356). Cette dernière y relève de nombreuses inexactitudes et incohérences. Elle regrette d’abord que des symptômes (perturbation du sommeil, une dépréciation de soi, des variations importantes de sa thymie, plusieurs tentatives de suicide dans son parcours de vie, des idées suicidaires à certaines périodes de sa vie, des pleurs) n’aient pas été pris en compte par l'expert. Elle soutient ensuite que l’expert n’a pas pris en compte la maltraitance physique et les négligences graves subies par sa patiente (exposition à des disputes conjugales, départ de la mère du domicile, dénigrement, rabaissement, viol conjugal depuis l’âge de 15 ans). Or, selon elle, celles-ci sont à l’origine du stress post-traumatique, sur lesquels elle estime que l’expert a des connaissances insuffisamment actuelles. Enfin, elle constate que l’expert est passé à côté du fait que sa patiente s’est retrouvée en état de dissociation durant l’entretien, ce qui est symptomatique du trouble de la personnalité borderline. Toutefois, dans son rapport, le Dr F.________ relève que la recourante indique avoir eu des pensées suicidaires et avoir effectué plusieurs tentatives de suicide dans sa jeunesse. Il souligne qu’elle soutient avoir des troubles de la mémoire et de la concentration ainsi qu’une thymie variable (« dans la joie, je peux exploser, dans la colère, je peux perdre la tête »), parfois dans la même journée. En matière de fatigue, il souligne que la recourante indique être fatiguée avec un sommeil interrompu à plusieurs reprises, des cauchemars dont l’origine est inconnue et un sommeil non réparateur. Il retient en outre qu’elle déclare avoir une mauvaise estime de soi. S’agissant de l’enfance, il précise de la maltraitance physique, du dénigrement par les autres membres de la famille, un adultère du côté paternel et des rixes conjugales mais pas de viol ou d’abus sexuels. Quant à la vie maritale, l’expert évoque des difficultés rencontrées avec les ex-époux ainsi que des craintes à leur égard, en particulier le premier. Force est dès lors de constater que l’ensemble des symptômes et éléments</w:t>
      </w:r>
    </w:p>
    <w:p>
      <w:r>
        <w:t>Tribunal cantonal TC Page 11 de 14 évoqués par la médecin traitante ont été relevés et pris en compte par le Dr F.________ dans son rapport. Quant aux différents traumatismes évoqués par la psychiatre traitante, force est de constater qu’ils n’étaient également pas relevés par elle-même dans le passé. Ainsi, dans son rapport du 9 avril 2020, la psychiatre évoquait le diagnostic de stress post-traumatique en lien avec un divorce et le travail (dossier OAI, p. 9). Dans son rapport du 26 août 2020, elle ne mentionnait pas de traumatisme mais uniquement un trouble dépressif récurrent (dossier OAI, p. 77). Dans son rapport du 22 février 2021, elle soutenait que sa patiente présentait des symptômes dépressifs et un état de stress. Elle se sentait angoissée et vulnérable avec les gens. Elle était préoccupée en raison d’une intervention, avec une inquiétude envers l’avenir (dossier OAI, p. 95). Dans son rapport du 6 mai 2021, la psychiatre soulignait que sa patiente avait « perdu de manière consécutive et répétée ses emplois en lien avec ses difficultés psychiques » (dossier OAI, p. 136). Dans son rapport du 8 mars 2022, les causes des difficultés n’étaient plus évoquées (dossier OAI, p. 162). De tels traumatisme n’étaient, au demeurant, pas mentionnés par les spécialistes de J.________. Dans leurs rapports, ceux-ci faisaient état d’une situation de surcharge professionnelle (2 travails en parallèle) ainsi que le divorce avec son second époux, lequel ne l’avait épousé que pour avoir une autorisation de séjour et avait déjà une famille au pays (dossier OAI, p. 13, 16 et 127). Il est probable que la Dre I.________ et les spécialistes de J.________ auraient souligné de tels traumatismes dans leurs rapports si ceux-ci avaient eu une incidence sur l’état actuel de leur patiente. En l’absence d’une telle mention, jamais ces psychiatres ne mettent en lien le stress avec des traumatismes subis durant l’enfance ou des violences conjugales. En revanche, ils mettent ces troubles en lien avec la situation actuelle de leur patiente: son divorce, ses difficultés professionnelles ou son état de santé. Or, le Dr F.________ estime que de tels facteurs ne sont pas susceptibles de justifier un état de stress post-traumatique, ce qui est également confirmé à la lecture du DSM-IV-TR (p. 533). S’agissant des facteurs plus anciens, l’expert explique que l’état de stress post-traumatique (F43.1) évolue en principe vers la guérison, ce qui est également confirmé par la lecture de l’ICD-10. Les raisonnements de l’expert apparaissent dès lors convaincants et ne sont pas mis en doute par les critiques de la psychiatre traitante. 6.3. Enfin, s’agissant des difficultés d’échange relaté par la psychiatre traitante, le Dr F.________ ne les met pas en lien avec un état de dissociation causé par une personnalité borderline dès lorsque la recourante a eu une carrière stable, dirigé une entreprise avec des employés et élevé des enfants ayant réussi académiquement et professionnellement. En revanche, il relève la présence d'une importante démonstrativité proche d'un histrionisme sans avoir, pour autant, suffisamment d’importance pour être retenu au titre de diagnostic. Ce raisonnement, loin de démontrer une méconnaissance professionnelle, apparaît cohérent avec les constats de l’expert. Il est le lieu de rappeler que, selon la jurisprudence,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6.4. Il ressort de l’ensemble de ce qui précède que les conclusions des Drs G.________ et F.________ ne sont pas mises en doute par les autres pièces du dossier et peuvent, de ce fait, être suivies.</w:t>
      </w:r>
    </w:p>
    <w:p>
      <w:r>
        <w:t>Tribunal cantonal TC Page 12 de 14 Par conséquent, on retient que l’assurée demeure en mesure de travailler à temps plein et sans perte de rendement dans une activité adaptée. Il s’agit là d’une activité permettant d’alterner les différentes positions assis-debout et sans port de charge de plus de 5 kg de façon répétée avec les deux poignets, sans travail avec les bras au-dessus de l'horizontale, notamment de l'épaule gauche, et sans montée et descente des échelles et des échafaudages. 7. Reste à examiner l’impact de cette capacité de travail sur la capacité de gain de l’assurée. Dans la décision litigieuse, l’OAI a procédé à deux calculs du degré d’invalidité: le premier à l’aune des dispositions applicables jusqu’au 31 décembre 2023, le second à l’aune des dispositions applicables à partir du 1er janvier 2024 (cf. consid. 2.3). 7.1. S’agissant de la première période de calcul (jusqu’au 31 décembre 2023), l’OAI a fondé le revenu sans invalidité sur les montants figurant dans l’extrait de compte individuel pour l’année 2019, à savoir CHF 36'053.-. Il a ensuite indexé ce montant en tenant compte d’un taux de 0.9% pour atteindre CHF 36'377.50. A ce stade, la Cour constate que le revenu perçu par la recourante était inférieur au revenu statistique de la branche. L’OAI a également fait ce constat de sorte qu’il a fait application du parallélisme. Il a tenu compte d’un taux revenu de 25.55% (30.55% - 5%). Toutefois, la motivation de l’OAI est insuffisante pour déterminer sur quelle base ce taux est calculé. Cela étant, il peut être pallié ce manque par la Cour à ce stade. En effet, la recourante a eu une carrière dans de nombreux domaines professionnels différents tels que la vente, la restauration et la coiffure. Dans ce contexte, la parallélisation ne peut se baser que sur les revenus perçus dans une activité du secteur tertiaire (ESS 2020, Tirage_skill_level, total du secteur 3, niv. 1, femmes), soit CHF 4'187.- par mois ou CHF 50'244.- par année. Selon la durée normale du travail dans les entreprises, l’horaire dans ce secteur était de 41.7 heures hebdomadaires, ce qui implique que ce montant doit être augmenté à CHF 52'379.40. Comparé au revenu de CHF 36'377.50, la différence est de CHF 16'001.90, soit de 30.55% (CHF 16'000.90 / CHF 52'379.40 * 100). Cela correspond au parallélisme de 25.55% (30.55% - 5%) pris en compte par l’assurance-invalidité. Quant au revenu avec invalidité, l’OAI s’est référé aux chiffres de l’ESS 2020, Tirage_skill_level, total des salaires, niv. 1, femmes. Cela correspond à un montant de CHF 4'276.-, lequel a été adapté à la durée de travail hebdomadaire usuelle de 41.7 heures pour atteindre CHF 4'457.75, soit CHF 53'493.- par année. Ce montant a été parallélisé sur la base du taux précédemment retenu, soit CHF 39'825.55 (CHF 53'493.- / 100% * 74.45%). A cela s’ajoute une réduction de 10% au titre de désavantage salarial. Cela correspond à un montant de CHF 35'843.-. Comparant les revenus de valide (CHF 36'377.50) et d’invalide (CHF 35'843.-), l’on aboutit à un degré d’invalidité de 1.47%, ce qui exclut le droit à une rente d’invalidité. 7.2. Pour la seconde période (à partir du 1er janvier 2024), l’OAI a fondé le revenu sans invalidité sur le 95% des valeurs médianes usuelles dans la branche selon l’ESS, conformément à l’art. 26 al. 2 RAI dans sa version actuellement en vigueur. Sur cette base, l’OAI retient un montant mensuel de CHF 4'187.- pour ce genre d’activité (ESS 2020 Tirage_skill_level, total du secteur 3, niv. 1, femmes). Ce montant étant calculé sur la base d’une durée de travail hebdomadaire de 40 heures, alors que la durée usuelle est de 41.7 heures, il l’a augmenté à CHF 4'364.95, soit CHF 52'379.40 par année. Il a ensuite indexé ce montant de 0.9%</w:t>
      </w:r>
    </w:p>
    <w:p>
      <w:r>
        <w:t>Tribunal cantonal TC Page 13 de 14 pour 2024. Or, ce pourcentage ne tient pas compte de l’entier de l’indexation entre 2020 et 2024, soit 0.7% pour 2021, 0.7% pour 2022, 1.8% pour 2023 et 1.5% pour 2024 (cf. OFS, T1.2.10 Indice des salaires nominaux, femmes, 45 – 96 secteur tertiaire; cf. ég. estimation trimestrielle de l’ISS pour l’année 2024). Cela correspond à un montant de CHF 54.882.40. Par conséquent, le revenu sans invalidité est fixé à CHF 52'138.30, soit 95% de ce dernier montant. Quant au revenu avec invalidité, l’OAI renvoie au montant de CHF 4'187.-. Toutefois, il aurait plutôt dû se référer aux salaires totaux de l’ESS. Pour l’ESS 2020 auquel il fait référence, cela correspond à un montant de CHF 4'276.- (ESS 2020, Tirage_skill_level, total des salaires, niv. 1, femmes), lequel a été adapté à la durée de travail hebdomadaire usuelle de 41.7 heures pour atteindre CHF 4'457.75, soit CHF 53'493.- par année. A nouveau, il n’a pas été tenu compte d’une indexation suffisante. Ce montant doit être indexé jusqu’en 2024 sur la base de taux de 0.6% pour 2021, 0.8% pour 2022, 1.8% pour 2023 et 1.5% pour 2024 (cf. OFS, T1.2.10 Indice des salaires nominaux, femmes, total ; cf. ég. estimation trimestrielle de l’ISS pour l’année 2024). L’on aboutit à un montant de CHF 56'049.20. Un désavantage salarial de 10% (cf. art. 26bis al. 3 RAI) est toujours pris en compte de sorte que le revenu avec invalidité se monte à CHF 50'444.25. Comparant les revenus de valide (CHF 52'138.30) et d’invalide (CHF 50'444.25), l’on aboutit à un degré d’invalidité de 3.25%, ce qui exclut le droit à une rente d’invalidité. 7.3. Il ressort de l’ensemble de ce qui précède que c’est à juste titre que l'OAI a nié à la recourante le droit à une rente d’invalidité. La décision doit dès lors être confirmée. 8. La recourante sollicite le bénéfice de l'assistance judiciaire partielle (608 2024 74). 8.1.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8.2. S'agissant des chances de succès du recours déposé, il convient de constater que, dans le cas d’espèce, le recours ne paraissait pas d’emblée dénué de toute chances de succès, quand bien même celles-ci étaient très minces, comme il l'a été démontré ci-dessus. S’agissant de la seconde condition de l’indigence, la recourante relève de l’aide sociale, de sorte qu’elle ne dispose pas de moyens pour assurer sa défense. Il convient ainsi de mettre la recourante au bénéfice de l'assistance judiciaire partielle dans le cadre de la procédure de recours et de la dispenser du paiement des frais de justice, qui sont mis – vu l'issu de la procédure – à sa charge et fixées à CHF 800.- (cf. 69 al. 1bis LAI).</w:t>
      </w:r>
    </w:p>
    <w:p>
      <w:r>
        <w:t>Tribunal cantonal TC Page 14 de 14 Toutefois, si la recourante revient à meilleure fortune ou s'il est démontré que son état d'indigence n'existait pas, la collectivité publique peut exiger de lui le remboursement de ses prestations (frais de procédure non perçus). La prétention doit être invoquée dans les dix ans dès la clôture de la procédure (art. 145b al. 3 CPJA). la Cour arrête : I. Le recours (608 2024 73) est rejeté. II. La requête d'assistance judiciaire partielle (608 2024 74) est admise. III. Les frais de justice, par CHF 800.-, sont mis à la charge de A.________ qui succombe. Ils ne sont toutefois pas prélevés, compte tenu de l'assistance judiciaire partielle accordée.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mars 2025/pte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