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66 vom 30. Oktober 2024</w:t>
      </w:r>
    </w:p>
    <w:p>
      <w:r>
        <w:t>FR Kantonsgericht, 2024-10-30, FR</w:t>
      </w:r>
    </w:p>
    <w:p>
      <w:r>
        <w:rPr>
          <w:b/>
        </w:rPr>
        <w:t xml:space="preserve">Quelle: </w:t>
      </w:r>
      <w:r>
        <w:t>https://mcp.opencaselaw.ch/entscheid/fr_gerichte_608_2024_66</w:t>
      </w:r>
    </w:p>
    <w:p>
      <w:r>
        <w:t>FR: FR_GERICHTE 608 2024 66 du 30 octobre 2024</w:t>
      </w:r>
    </w:p>
    <w:p>
      <w:r>
        <w:t>IT: FR_GERICHTE 608 2024 66 del 30 ottobre 2024</w:t>
      </w:r>
    </w:p>
    <w:p>
      <w:pPr>
        <w:pStyle w:val="Heading2"/>
      </w:pPr>
      <w:r>
        <w:t>Regeste</w:t>
      </w:r>
    </w:p>
    <w:p>
      <w:r>
        <w:t>Arrêt de la IIe Cour des assurances sociales du Tribunal cantonal | Invalidenversicherung</w:t>
      </w:r>
    </w:p>
    <w:p>
      <w:pPr>
        <w:pStyle w:val="Heading2"/>
      </w:pPr>
      <w:r>
        <w:t>Erwägungen</w:t>
      </w:r>
    </w:p>
    <w:p>
      <w:r>
        <w:rPr>
          <w:b/>
        </w:rPr>
        <w:t>E. 13</w:t>
      </w:r>
    </w:p>
    <w:p>
      <w:r>
        <w:t>juin 2020 et non dès le 13 juin 2019.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et dûment représenté, le recours est recevable. 1.2.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Tribunal cantonal TC Page 4 de 11 Compte tenu de ce qui précède, les nouvelles dispositions légales introduites dans le cadre du développement continu de l'AI et entrées en vigueur le 1er janvier 2022 ne sont ici pas applicables, dans la mesure où un éventuel droit à la rente débuterait avant le 1er janvier 2022. 1.3. Le 1er janvier 2024 est entrée en vigueur la modification du 18 octobre 2023 du RAI (RO 2023 635). Elle révise l'art. 26bis al. 3 RAI qui avait introduit avec effet au 1er janvier 2022 une nouvelle déduction forfaitaire de 10% sur le revenu d'invalide établi sur la base de l'Enquête suisse sur la structure des salaires (ESS), si, du fait de l’invalidité, l’assuré ne peut travailler qu’avec une capacité fonctionnelle au sens de l’art. 49 al. 1bis de 50 % ou moins. Dès le 1er janvier 2024, l'art. 26bis al. 3 RAI prévoit ainsi qu’une déduction de 10 % est opérée sur la valeur statistique visée à l’art. 26 al. 2 RAI et que si, du fait de l’invalidité, l’assuré ne peut travailler qu’avec une capacité fonctionnelle au sens de l’art. 49, al. 1bis RAI de 50 % ou moins, une déduction de 20 % est opérée. L’art. 26bis al. 3 RAI ajoute en outre qu’aucune déduction supplémentaire n’est possible. A cet égard toutefois, dans un arrêt récent (arrêt TF 8C_823/2023 du 8 juillet 2024),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en opérant dans certains cas une déduction forfaitaire, sont insuffisants. Si nécessaire, il convient donc de recourir en complément à la pratique du Tribunal fédéral en la matière appliquée jusqu'à présent (taux d'abattement jusqu'à 25 % au maximum). Les dispositions transitoires de la modification du 18 octobre 2023 prévoient que, notamment que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Dans sa lettre circulaire AI n°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2. En l'espèce, le recourant ne conteste pas l'évaluation de son état de santé, le revenu sans invalidité, ni l'utilisation des salaires statistiques pour le calcul des revenus avec et sans invalidité. Il soutient cependant qu'un abattement supérieur à 10% (sans indiquer le pourcentage) aurait dû être pris en compte lors du calcul du revenu d'invalide et qu'il ne peut quoi qu'il en soit pas exercer une activité sur le marché du travail équilibré.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t>Tribunal cantonal TC Page 5 de 11 3.2.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3.3.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l'absence d'un revenu effectivement réalisé – soit lorsque la personne assurée, après la survenance de l'atteinte à la santé, n'a pas repris d'activité lucrative ou alors aucune activité normalement exigible –, le revenu d'invalide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Cette pratique se base sur l'ancien droit jusqu'au 31 décembre 2021 et si nécessaire en complément sur la base du nouveau droit à partir du 1er janvier 2022 jusqu'au 31 décembre 2023 (cf. consid. 1.3).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w:t>
      </w:r>
    </w:p>
    <w:p>
      <w:r>
        <w:t>Tribunal cantonal TC Page 6 de 11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126 V 75; arrêts TF 8C_227/2017 du 17 mai 2018 consid. 3.3; 8C_490/2011 du 11 janvier 2012 consid. 4 et 5; I 724/02 du 10 janvier 2003). 3.4.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w:t>
      </w:r>
    </w:p>
    <w:p>
      <w:r>
        <w:t>Tribunal cantonal TC Page 7 de 11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(ATF 138 V 457 consid. 3.3). 3.5.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4. Il convient tout d'abord de procéder à une analyse globale de la situation et d'examiner si, de manière réaliste, l'assuré est/était en mesure de retrouver un emploi sur un marché équilibré du travail. 4.1. Il ressort des pièces du dossier, et notamment d'une expertise pluridisciplinaire en médecine interne générale, neurologie, pneumologie, rhumatologie et psychiatrie du 8 novembre 2022 que le recourant souffre notamment d'un trouble neurocognitif léger avec perturbation du comportement, de céphalées secondaires à un traumatisme du maxi-facial type LeFort 1 et 2, d'un trouble anxieux et dépressif mixte avec absence de trouble de la personnalité ou autres comorbidités, de lombalgies sans irradiation sur discopathie et d'un syndrome d’apnées du sommeil de degré modéré non traité. Les principales limitations fonctionnelles sont un port de charge proche du corps limité à 15kg et depuis le sol limité à 10kg, d'éventuelles difficultés dans les relations interpersonnelles en raison de difficultés à gérer les frustrations, des troubles exécutifs, attentionnels, mnésiques et des difficultés comportementales, ainsi qu'un besoin de pauses en raison de la somnolence diurne. Les experts attestent ainsi d'une capacité de travail dans l'activité habituelle de 80% depuis 2015 jusqu'en février 2020, puis de 64% depuis mars 2020. Dans une activité adaptée, elle est de 80% depuis 2015. Le rapport des experts est fondé sur l'étude du dossier assécurologique qui leur avait été transmis, ainsi que sur l’examen et les différents entretiens avec l'assuré. C'est donc sur la base d'une</w:t>
      </w:r>
    </w:p>
    <w:p>
      <w:r>
        <w:t>Tribunal cantonal TC Page 8 de 11 compréhension claire et exhaustive du cas que les experts ont été amenés à donner leur avis dans ce dossier. A l'occasion des différents entretiens, l'assuré a été en mesure d'expliquer ses troubles et leur incidence dans son quotidien, de décrire en détail son historique professionnel, médical et familial et d'expliquer ses troubles. L’expertise prend en considération les plaintes exprimées et les points litigieux importants ont fait l'objet d'une étude fouillée. Enfin, l'appréciation médicale est claire et les conclusions des experts sont dûment motivées et également discutées dans le cadre d’un consensus interdisciplinaire. Dès lors que l'expertise est en tous points conforme aux réquisits jurisprudentiels, elle a en soi pleine valeur probante sur le plan formel. Elle n'est par ailleurs pas remise en question par le recourant. 4.2. L'autorité intimée soutient, se basant sur cette expertise, qu'une activité adaptée respectant les limitations fonctionnelles – notamment sans attention continue et avec des pauses –, comme par exemple une activité non qualifiée dans la production industrielle légère ou dans les services, est exigible à 80%. Elle met ensuite en doute l'affirmation du recourant selon laquelle il aurait eu le soutien de sa famille dans son activité de vente de fruits et de légumes, dès lors que ses fils sont au bénéfice d'une rente d'invalidité pour un retard de développement. Enfin, elle relève que l'assuré a exercé diverses activités professionnelles telles que ferrailleur, maçon et le transport de marchandises. Le recourant estime quant à lui ne pas pouvoir exercer une quelconque activité sur le marché équilibré du travail en raison de ses multiples maladies et de l'absence de formation professionnelle, qui sont, à son âge, des lacunes majeures à la reprise d'une activité professionnelle sur le marché libre du travail. Il ajoute que les troubles attentionnels et mnésiques couplés à des difficultés comportementales dont il souffre, ajoutés à son âge, empêchent tout apprentissage de nouvelles connaissances professionnelles ou de procédés impossible. En outre, dans un emploi en-dehors du cercle familial, il ne pourra plus bénéficier de l'aide de ses enfants ni de la souplesse propre à une entreprise familiale. 4.3. Amenée à statuer, la Cour de céans estime que son manque de formation n'est pas de nature à empêcher le recourant de trouver un travail adapté. S'il est vrai que les restrictions induites par ce manque peuvent limiter dans une certaine mesure les possibilités de retrouver un emploi, on ne saurait toutefois considérer qu'elles rendent cette perspective illusoire. Il n'est à tout le moins pas arbitraire, ni contraire au droit fédéral, d'affirmer que le marché du travail offre un large éventail d'activités légères, dont on doit convenir qu'un nombre important d'entre elles sont adaptées aux limitations du recourant – pas d'effort de soulèvement à partir du sol de plus de 10kg, pas de port de charge proche du corps supérieur à 15kg, sans attention continue et avec des pauses possibles en raison de la fatigabilité – et accessibles sans formation particulière si ce n'est une mise au courant initiale (cf. arrêt TF 9C_67/2015 du 23 juin 2015). Dans ce contexte, le fait que son parcours professionnel se limite à des activités non/peu qualifiées (ferrailleur, maçon, transporteur de marchandises) n'est en soi pas rédhibitoire. Le fait qu'il n'y a pas de traitement neuropsychologique pouvant modifier son état n'y change rien non plus, dès lors que les limitations fonctionnelles ont déjà été prises en compte dans l'estimation de la capacité de travail. Il y a encore lieu de relever que le recourant était âgé de 58 ans au moment où la décision attaquée a été rendue et n'avait donc pas atteint l'âge à partir duquel la jurisprudence considère généralement qu'il n'existe plus de possibilité réaliste de mise en valeur de la capacité résiduelle de travail sur un marché de l'emploi supposé équilibré (cf. pour une situation analogue, arrêt TF 9C_920/2013 du 20 mai 2014 consid. 4.4).</w:t>
      </w:r>
    </w:p>
    <w:p>
      <w:r>
        <w:t>Tribunal cantonal TC Page 9 de 11 Vu ce qui précède et vu la jurisprudence constante du Tribunal fédéral, l'allégation du recourant selon laquelle il n'existe pas d'activité sur le marché du travail pour un travailleur sans formation de son âge doit dès lors être rejetée. De plus, on doit nier l'affirmation selon laquelle les limitations sont à ce point importantes qu'il ne pourrait pas trouver une place de travail dans un marché équilibré, car elles sont somme toute assez faciles à respecter, étant précisé que les exemples de problèmes mnésiques et d'orientation spatiale mentionnés par le recourant l'ont essentiellement été en lien avec la conduite d'un véhicule (cf. p. ex. rapport du 30 mars 2020 de C.________, psychologue spécialiste en neuropsychologie FSP, dossier OAI p. 264; expertise pluridisciplinaire p. 475, 483 et 495; bilan neurologique en annexe de l'expertise, dossier OAI p. 518). 5. Le recourant estime ensuite que l'autorité intimée n'a pas suffisamment pris en considération son manque d'instruction, sa nationalité, son âge et les limitations fonctionnelles et se réfère à la jurisprudence fédérale qui admet, si les circonstances sont remplies, un abattement de 25% maximum sur le revenu d'invalide basé sur les revenus statistiques. Il soutient ainsi ne pas être en mesure de réaliser un revenu de CHF 47'718.65 dans une activité adaptée retenu par l'autorité intimée après le 1er janvier 2024. Cette question, à supposer que les conditions de la prise en compte d'un abattement seraient remplies, peut cependant rester ouverte. En effet, même un revenu d'invalide réduit de 25% ne permettrait pas l'octroi d'une rente, le degré d'invalidité restant inférieur à 40% (36.45% compte tenu d'un revenu sans invalidité CHF 62'555.40 et d'un revenu d'invalide de CHF 39'765.55 [CHF 52'652.15 moins 25%]). Au surplus, il y a lieu de constater que dans sa décision du 4 avril 2024, l'OAI a tenu compte de la déduction forfaitaire de 10% prévue par la modification du 18 octobre 2023 lors du calcul du revenu d'invalide dès le 1er janvier 2024 (voir consid. 1.3). 6. Au vu de ce qui précède, l'assuré est/était en mesure de retrouver un emploi sur un marché équilibré du travail et de réaliser un revenu d'invalide de CHF 47'718.65 après le 1er janvier 2024. Partant, le recours doit être rejeté et la décision litigieuse confirmée. 7. Le recourant a sollicité le bénéfice de l'assistance judiciaire totale (608 2024 67) dans le cadre de la présente procédure de recours. 7.1.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10 de 11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7.2. Il convient d'examiner les deux conditions permettant l'octroi de l'assistance judiciaire gratuite, à savoir celle de la situation financière difficile et celle des chances de succès. S'agissant de la situation financière, il appert que l'assuré est sans emploi et sans revenus. Il ressort de l'avis de taxation de 2022 que son épouse est également sans revenus. Il ne dispose manifestement pas des ressources suffisantes pour supporter les frais de procédure sans s'exposer à la privation des choses nécessaires à son existence et à celle de sa famille. Il peut en outre être admis que le recours n'était pas d'emblée dénué de chances de succès, même s'il s'agit d'un cas limite. Dans ces conditions, l'assistance judiciaire totale est octroyée au recourant et il convient de lui désigner un défenseur d'office en la personne du mandataire choisi. 7.3. La procédure n'étant pas gratuite, les frais de justice sont fixés à CHF 800.- et sont mis à la charge du recourant qui succombe. Ils ne lui sont toutefois pas réclamés en raison de l'assistance judiciaire totale octroyée ce jour. Le mandataire de l'assuré a produit sa liste de frais le 27 mai 2024. Celle-ci correspond aux exigences du tarif applicable (art. 8ss du tarif cantonal du 17 décembre 1991 des frais de procédure et des indemnités en matière de juridiction administrative, Tarif/JA; RSF 150.12), à l'exception de la fixation à forfait des débours, valable en matière civile, mais qui ne correspond pas aux exigences du Tarif/JA prévoyant un remboursement au prix coûtant. Partant, il se justifie de fixer l'équitable indemnité de partie à laquelle il a droit à raison de 16h51 à CHF 180.-, soit CHF 3'033.-, plus CHF 50.- de débours, plus CHF 249.70 au titre de la TVA à 8.1%, soit à un total de CHF 3'332.70. Ce montant est mis à la charge de l'Etat de Fribourg. Si le recourant revient à meilleure fortune ou s'il est démontré que son état d'indigence n'existait pas, la collectivité publique peut exiger de lui, dans les 10 ans dès la clôture de la procédure, le remboursement de ses prestations (cf. art. 145b al. 3 CPJA). (dispositif en page suivante)</w:t>
      </w:r>
    </w:p>
    <w:p>
      <w:r>
        <w:t>Tribunal cantonal TC Page 11 de 11 la Cour arrête : I. Le recours (608 2024 66) est rejeté. II. La requête d'assistance judiciaire gratuite totale (608 2024 67) est admise et Me Olivier Carrel, avocat, est désigné comme défenseur d'office. III. Les frais de procédure, par CHF 800.-, sont mis à la charge de A.________. Ils ne lui sont toutefois pas réclamés en raison de l'assistance judiciaire accordée. IV. L'indemnité allouée à Me Olivier Carrel en sa qualité de défenseur d'office est fixée à CHF 3'083.-, plus CHF 249.70 au titre de la TVA à 8.1%, soit à un total de CHF 3'332.70,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