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4 vom 8. Oktober 2024</w:t>
      </w:r>
    </w:p>
    <w:p>
      <w:r>
        <w:t>FR Kantonsgericht, 2024-10-08, FR</w:t>
      </w:r>
    </w:p>
    <w:p>
      <w:r>
        <w:rPr>
          <w:b/>
        </w:rPr>
        <w:t xml:space="preserve">Quelle: </w:t>
      </w:r>
      <w:r>
        <w:t>https://mcp.opencaselaw.ch/entscheid/fr_gerichte_608_2024_4</w:t>
      </w:r>
    </w:p>
    <w:p>
      <w:r>
        <w:t>FR: FR_GERICHTE 608 2024 4 du 8 octobre 2024</w:t>
      </w:r>
    </w:p>
    <w:p>
      <w:r>
        <w:t>IT: FR_GERICHTE 608 2024 4 del 8 ottobre 2024</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 assuré directement touché par la décision attaquée et dûment représenté, le recours est recevable.</w:t>
      </w:r>
    </w:p>
    <w:p>
      <w:r>
        <w:rPr>
          <w:b/>
        </w:rPr>
        <w:t>E. 1.2</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w:t>
      </w:r>
    </w:p>
    <w:p>
      <w:r>
        <w:t>Tribunal cantonal TC Page 4 de 17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un éventuel droit à la rente débuterait avant le 1er janvier 2022.</w:t>
      </w:r>
    </w:p>
    <w:p>
      <w:r>
        <w:rPr>
          <w:b/>
        </w:rPr>
        <w:t>E. 2.1</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2.3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w:t>
      </w:r>
    </w:p>
    <w:p>
      <w:r>
        <w:t>Tribunal cantonal TC Page 5 de 17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Par ailleurs, on ne peut procéder à une déduction globale supérieure à 25%. Une déduction globale maximale de 25% sur le salaire statistique permet de tenir compte des différents éléments qui peuvent influencer le revenu d'une activité lucrative (ATF 126 V 75 consid. 5b/aa-cc; arrêt TF 9C_537/2019 du 20 février 2020 consid. 2.2). Enfin,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du 11 janvier 2012 consid. 4.2). L'administration doit motiver brièvement la déduction opérée.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126 V 75; arrêts TF 8C_227/2017 du 17 mai 2018 consid. 3.3; 8C_490/2011 du 11 janvier 2012 consid. 4 et 5; I 724/02 du 10 janvier 2003).</w:t>
      </w:r>
    </w:p>
    <w:p>
      <w:r>
        <w:rPr>
          <w:b/>
        </w:rPr>
        <w:t>E. 2.4</w:t>
      </w:r>
    </w:p>
    <w:p>
      <w:r>
        <w:t>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w:t>
      </w:r>
    </w:p>
    <w:p>
      <w:r>
        <w:t>Tribunal cantonal TC Page 6 de 17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3.1</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t>Tribunal cantonal TC Page 7 de 17</w:t>
      </w:r>
    </w:p>
    <w:p>
      <w:r>
        <w:rPr>
          <w:b/>
        </w:rPr>
        <w:t>E. 3.2</w:t>
      </w:r>
    </w:p>
    <w:p>
      <w:r>
        <w:t>Une décision par laquelle l'OAI accorde une rente avec effet rétroactif et en même temps prévoit la réduction ou suppression de cette rente correspond à une décision de révision (VSI 2001 155 consid. 2; 131 V 164). En cas d'allocation d'une rente dégressive ou temporaire, la date de la modification du droit (diminution ou suppression de la rente) doit être fixée conformément à l'art. 88a al. 1 RAI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rPr>
          <w:b/>
        </w:rPr>
        <w:t>E. 4</w:t>
      </w:r>
    </w:p>
    <w:p>
      <w:r>
        <w:t>En l'espèce, le recourant estime tout d'abord avoir droit à une rente entière dès le 1er mars 2018 et non seulement à un quart de rente depuis le 1er juillet 2018. Il conteste ensuite la suppression de sa rente au 1er mars 2021, une amélioration sensible n'ayant pas été démontrée. Il convient dès lors d'examiner la question de la capacité de travail, de son évolution dans le temps et de son influence sur le degré d'invalidité.</w:t>
      </w:r>
    </w:p>
    <w:p>
      <w:r>
        <w:rPr>
          <w:b/>
        </w:rPr>
        <w:t>E. 4.1</w:t>
      </w:r>
    </w:p>
    <w:p>
      <w:r>
        <w:t>Dans leur évaluation consensuelle du 29 novembre 2022, les experts, soit la Dre D.________, spécialiste en pharmacologie et toxicologie cliniques et en médecine interne générale, le Dr E.________, spécialiste en médecine physique et réadaptation et en rhumatologie, et le Dr F.________, spécialiste en psychiatrie et psychothérapie, retiennent comme diagnostics avec influence sur la capacité de travail des diagnostics exclusivement rhumatologiques, à savoir un syndrome lombo-vertébral chronique avec discopathies étagées, principalement au niveau L5- S1, associé à une dysbalance musculaire et à une insuffisance de la sangle abdominale, des cervicalgies avec discopathies pluri-étagées avec irritation de la racine C4-C5 gauche d'origine radiculaire, ainsi qu'une arthrose acromio-claviculaire gauche avec tendinopathie modérée du sus- épineux et du biceps bicipital, sans déchirure significative. S'agissant de la capacité de travail, l'activité habituelle n'est plus exigible du point de vue rhumatismal, tandis qu'une activité adaptée respectant les limitations fonctionnelles (difficultés à se déplacer dans un rayon éloigné) et rhumatologiques (nécessité d'alterner les positions assises et débout, port de charges de max. 5kg, nécessité d'éviter hyperextension du tronc avec les membres supérieurs au-dessus de l'horizontale, toutes les activités qui demandent une sécurité augmentée sur les échafaudages, les échelles et celles qui demandent une posture non ergonomique pouvant surcharger le rachis dans sa totalité) est exigible à plein temps sans diminution de rendement. Il n'y a pas de limitations fonctionnelles sur le plan de la médecine interne.</w:t>
      </w:r>
    </w:p>
    <w:p>
      <w:r>
        <w:t>Tribunal cantonal TC Page 8 de 17 Les experts précisent que la capacité dans toute activité est entière dans les trois spécialités jusqu'au 6 juillet 2017. Depuis ce moment, elle est nulle jusqu'en février 2018 en raison des troubles psychiatriques. La capacité dans l'activité habituelle continue à être de 0% d'abord en raison des troubles psychiatriques, puis dès novembre 2020 également en raison des troubles rhumatologiques. Quant à la capacité dans une activité adaptée, elle est de 60% dès mars 2018 jusqu'en mars 2021 et entière dès avril 2021 à cause des seuls troubles psychiatriques qui se sont partiellement améliorés. Par contre, les limitations dues aux atteintes rhumatologiques persistent, mais n'empêchent pas une activité adaptée respectant les limitations fonctionnelles y relatifs. Sur le plan psychiatrique plus particulièrement, le Dr F.________ relève que l'examen clinique n'a pas permis de constater de trouble significatif de la série dépressive, ni de la série anxieuse, et qu'il n'a pas constaté de symptôme neurovégétatif durant un entretien qui s'est déroulé dans un bureau porte et porte-fenêtre fermées, sans plainte notamment d'angoisse ou de demande pour sortir respirer, alors que l'assuré explique que les endroits fermés sont le pire pour lui. L'assuré est autonome dans les tâches élémentaires de la vie quotidienne (gestion de l'administratif, préparation des repas, promenades avec sa fille, recherche un emploi, etc.), sortait son chien lorsqu'il l'avait encore, fait de la moto, se déplace en voiture en ville pendant plusieurs mois, prenait sa voiture pour aller aux mesures de réadaptation à une dizaine de kilomètres, conduisant seul, et a pu augmenter son taux d'activité jusqu'à 84%. Des pertes de fonctionnalité liées au trouble anxieux ne sont ainsi pas cohérentes, ni plausibles. Par ailleurs, s'il rapporte avoir une à deux crises dans la journée, il arrive à les gérer au moyen d'exercices respiratoires en s'occupant dans des tâches distractives ou en pensant à des choses positives, et ne mentionne aucune perte de fonctionnalité ou gêne dans la réalisation des tâches de la vie quotidienne ou dans les activités distractives et récréationnelles ou au niveau des relations sociales. Les difficultés qu'il mentionne sur le fait que son taux d'activité n'a pas pu dépasser 80% pendant les mesures de réadaptation sont en lien avec la fatigue et le fait qu'il dormait sur le bureau les après-midis, et non avec un trouble anxieux. De ce fait, les troubles anxieux décrits n'ont plus de caractère incapacitant actuellement (dossier OAI p. 893). L'expert-psychiatre s'est également longuement exprimé (dossier OAI p. 887) sur l'expertise psychiatrique du 2 avril 2020 réalisée par le Dr G.________, spécialiste en psychiatrie et psychothérapie (dossier OAI p. 350) et sur les rapports des autres psychiatres figurant au dossier.</w:t>
      </w:r>
    </w:p>
    <w:p>
      <w:r>
        <w:rPr>
          <w:b/>
        </w:rPr>
        <w:t>E. 4.2</w:t>
      </w:r>
    </w:p>
    <w:p>
      <w:r>
        <w:t>Le rapport des experts est fondé sur l'étude du dossier assécurologique qui leur avait été transmis, ainsi que sur l’examen et les entretiens avec l'assuré du 20 septembre 2022 (expertise rhumatologique), du 7 septembre 2022 (expertise psychiatrique) et du 14 septembre 2022 (expertise en médecine interne). C'est donc sur la base d'une compréhension claire et exhaustive du cas que les experts ont été amenés à donner leur avis dans ce dossier. A l'occasion des différents entretiens, l'assuré a été en mesure d'expliquer ses troubles et leur incidence dans son quotidien, de décrire en détail son historique professionnel, médical et familial et d'expliquer ses troubles. L’expertise tient également compte du déroulement des mesures auprès de H.________, prend en considération les plaintes exprimées et les points litigieux importants ont fait l'objet d'une étude fouillée. Enfin, l'appréciation médicale est claire et les conclusions des experts sont dûment motivées et également discutées dans le cadre d’un consensus interdisciplinaire. Dès lors que l'expertise est en tous points conforme aux réquisits jurisprudentiels, elle a en soi pleine valeur probante sur le plan formel. Par ailleurs, la Cour de céans ne voit pas de raisons de s'écarter des conclusions des experts pour les motifs suivants.</w:t>
      </w:r>
    </w:p>
    <w:p>
      <w:r>
        <w:t>Tribunal cantonal TC Page 9 de 17</w:t>
      </w:r>
    </w:p>
    <w:p>
      <w:r>
        <w:rPr>
          <w:b/>
        </w:rPr>
        <w:t>E. 4.2.1</w:t>
      </w:r>
    </w:p>
    <w:p>
      <w:r>
        <w:t>Le Dr I.________, spécialiste en psychiatrie et psychothérapie et psychiatre traitant du recourant, a diagnostiqué le 2 mars 2018 une agoraphobie avec trouble panique (F40.01) et un syndrome de dépendance aux sédatifs ou hypnotiques, utilisation actuelle (F13.24). Il a également constaté qu'un trouble dépressif récurrent (F33.4) était actuellement en rémission (dossier OAI p. 215). S'agissant de l'incapacité de travail, il l'estime entre 100% et 30% depuis le 25 janvier 2017, mais de maximum 60% chez l'employeur actuel et de 100% chez un autre employeur du seul fait que l'assuré ne peut se déplacer. Force est donc de constater que le rapport est imprécis sur la capacité de travail dans l'activité habituelle et dans une activité adaptée. Le Dr F.________ a en outre discuté ce rapport et a tout d'abord relevé que le traitement n'avait pas changé depuis trois ans et correspondait à un état de stabilité n'entrainant pas de recherche de gain thérapeutique supplémentaire; le traitement n'est par ailleurs pas adapté aux troubles anxieux de type trouble panique, l'antidépresseur choisi n'étant pas la molécule recommandée pour ces troubles. L'expert- psychiatre ne confirme enfin ni le niveau de sévérité, ni l'impact sur la capacité de travail des diagnostics posés. Le recourant a ensuite été suivi par le Dr J.________, spécialiste en psychiatrie et psychothérapie. Les rapports du 20 septembre 2018 (dossier OAI p. 259) et du 24 novembre 2021 (dossier OAI p. 605) de ce médecin ne se prononcent cependant pas sur la capacité de travail, ou seulement sur la capacité dans l'activité habituelle. Quant au rapport du 4 juillet 2019 (dossier OAI p. 301), il a été discuté par le Dr F.________ qui a indiqué être d'accord avec les diagnostics de trouble panique et d'agoraphobie, mais pas avec celui de phobies sociales dont les critères ne ressortent pas de l'anamnèse, de l'examen clinique ou encore du rapport du psychiatre traitant qui ne le discute pas. En outre, celui-ci cite des limitations fonctionnelles en lien avec les troubles somatiques (port de charges lourdes, déplacements), et non psychiques. Le Dr F.________ a également pris position sur l'expertise psychiatrique du 2 avril 2020 du Dr G.________ (mise en œuvre par l'OAI; dossier OAI p. 887). Il indique notamment que, si ce spécialiste retient aussi un trouble panique avec agoraphobie et de trouble dépressif récurrent en rémission, la problématique de dépendance aux sédatifs et hypnotiques et la possible survenue d'attaque de panique dans un contexte de consommation chronique de benzodiazépines n'ont pas été pris en compte au niveau des diagnostics. Ensuite, l'analyse selon le mini-CIF (Classification internationale du fonctionnement, du handicap et de la santé) ne lui paraît pas adéquate. S'agissant tout d'abord de l'item "adaptation aux règles et aux routines", le Dr G.________ présente comme limitations des conséquences de l'agoraphobie, à savoir les distances que l'assuré peut parcourir à pied ou en voiture, alors qu'elles ne sont pas le sujet de cet item; la seule évaluation de l'adaptation aux règles et aux routines qu'il mentionne est en réalité la ponctualité et les engagements, qui sont respectés par l'assuré. Concernant le second item "planification et structuration des tâches", le Dr F.________ relève que le Dr G.________ explique que l'assuré parvient à gérer sa journée si elle est programmée à l'avance, et ainsi qu'il est capable de la programmer à l'avance, que les tâches sont réalisées dans un ordre judicieux et menées à terme, et que l'assuré n'a pas de difficulté à déterminer ce qui est important et ce qui ne l'est pas, mais que le Dr G.________ "rajoute curieusement que du fait des crises récurrentes, la personne assurée se voit dans l'obligation d'abandonner ses tâches professionnelles et de retourner à son domicile, ce qui constitue une conséquence du trouble anxieux et non un problème dans la capacité à planifier et à structurer les tâches, dans la capacité d'endurance qu'il estime à modérée". Par ailleurs, le Dr G.________ indique que la pression imprédictible des crises entraine une réduction du rendement, alors que les mesures d'intégration ont montré que l'assuré a au contraire pu augmenter son taux d'activité et que le seul</w:t>
      </w:r>
    </w:p>
    <w:p>
      <w:r>
        <w:t>Tribunal cantonal TC Page 10 de 17 élément limitant était le fait de s'endormir sur le bureau. Il évalue également la capacité d'intégration en se basant sur le fait que l'assuré présente des difficultés à s'intégrer dans des groupes d'amitiés ou d'intérêt, alors qu'il s'agit seulement de conséquences de l'agoraphobie. Quant au fait que l'activité habituelle ne serait plus exigible parce qu'elle pourrait avoir des conséquences sur sa sécurité et celles des autres en cas de crise d'angoisse, le Dr F.________ le conteste dès lors qu'aucun événement en lien avec la sécurité n'a été signalé durant les années de travail du recourant, que celui-ci explique lutter contre les crises d'angoisse par une occupation (qui constitue une stratégie distractive par rapport au trouble anxieux) et que les crises d'angoisse ne sont pas d'installation immédiate et présentent des symptômes permettant à la personne de se rendre compte de son arrivée et de prendre les mesures nécessaires. De plus, si le concept de dangerosité devait être rattaché à la crise d'angoisse, il devrait également être étendu aux activités ménagères et domestiques. Il n'y a ainsi pas d'argument en faveur d'une incapacité dans l'activité habituelle. Quant à l'exercice d'une activité adaptée, le Dr G.________ estime que la reprise d'une activité ne devrait être envisagée que dans un domaine qui puisse intéresser l'assuré, alors qu'une telle prise de position n'a aucun lien avec un trouble ou une limitation fonctionnelle psychiatriques. Il considère également que les traitements actuels sont tout à fait adaptés, alors que, selon le Dr F.________, la prescription comporte deux benzodiazépines chez une personne assurée connue pour sa dépendance à ces médicaments et que cette prescription comporte du Saroten à des doses en- dessous du seuil thérapeutique et des doses minimales efficaces. Enfin, les rapports de la Dre K.________, spécialiste en médecine interne générale et médecin traitante du recourant, ne sont pas non plus de nature à remettre en cause les conclusions des experts, notamment de l'expert-psychiatre. En effet, les troubles attestés sont purement psychiques, donc ne ressortent pas de sa spécialité, et ont dûment été pris en compte et discutés par l'expert- psychiatre (rapports du 15 juin 2016, dossier OAI p. 67; du 3 octobre 2017, dossier OAI p. 43). De plus, son rapport du 13 février 2017 (dossier OAI p. 64) n'est pas motivé. Quant à celui du 19 février 2018 (dossier OAI p. 188), s'il contient des diagnostics somatiques (tachycardie sinusale et troubles digestifs fonctionnels), ceux-ci ont été discutés et considérés comme étant sans influence sur la capacité de travail par l'expert en médecine interne générale (dossier OAI p. 868 et p. 870). Les limitations fonctionnelles (ne pas se déplacer dans le cadre du travail ni pour aller travailler loin de chez lui) ne relèvent pour leur part que du domaine psychiatrique. La Dre L.________, spécialiste en médecine interne générale et nouvelle médecin traitante, ne se prononce pas sur la capacité de travail, si ce n'est au sujet d'une incapacité de travail de cinq jours seulement en octobre 2021 en raison d'une lombalgie aigue, la capacité de travail étant gérée par le Dr J.________.</w:t>
      </w:r>
    </w:p>
    <w:p>
      <w:r>
        <w:rPr>
          <w:b/>
        </w:rPr>
        <w:t>E. 4.2.2</w:t>
      </w:r>
    </w:p>
    <w:p>
      <w:r>
        <w:t>Deux rapports psychiatriques ont été établis postérieurement à la décision attaquée et n'ont en soi pas à être pris en compte. Ils ne sont quoi qu'il en soit pas propres à permettre de s'écarter de l'évaluation psychiatrique du Dr F.________. Tout d'abord, le Dr J.________ ajoute dans son rapport du 29 janvier 2024 un diagnostic supplémentaire à ceux retenus par l'expertise, à savoir des phobies sociales avec phobies des transports et agoraphobie (F10), dès lors que l'assuré peut présenter un état d'anxiété dans des endroits publics en présence d'une grande foule, ainsi que des difficultés dans ses déplacements sur des grandes distances sans accompagnement, qu'il est vulnérable au regard et à l'observation attentive des autres (d'où ses difficultés à prendre les transports publics et leur évitement), présentant une gêne, des peurs et des craintes, un mal-être et un risque de faire une attaque de</w:t>
      </w:r>
    </w:p>
    <w:p>
      <w:r>
        <w:t>Tribunal cantonal TC Page 11 de 17 panique. Malgré une thérapie cognitive et comportementale par exposition, il reste toujours limité pour les déplacements seul sur des grandes distances. Or, ces éléments étaient déjà connus des experts et l'expert-psychiatre a estimé que l'agoraphobie n'avait pas d'influence sur la capacité de travail (cf. expertise psychiatrique, dossier OAI p. 877ss). De plus, l'assuré indique que les facteurs déclenchant des crises sont les lieux fermés, sans fenêtre ou porte, où il n'est pas possible de voir l'extérieur, comme les magasins ou les transports publics (expertise psychiatrique, dossier OAI p. 881). Si les magasins peuvent effectivement être des lieux fermés, tel n'est pas le cas des transports publics qui ont fenêtres et portes et permettent en principe de voir à l'extérieur. Quoiqu'il en soit, l'expert-psychiatre a relevé que des pertes de fonctionnalité liées au trouble anxieux ne sont pas cohérentes, ni plausibles chez un assuré qui fait de la moto, se déplace en voiture en ville pendant plusieurs mois, prenait sa voiture pour aller aux mesures de réadaptation à une dizaine de kilomètres, conduisant seul, qui a pu augmenter son taux d'activité jusqu'à 84%, et qui n'a décrit comme facteur limitant que la fatigue et le fait qu'il s'endormait sur le bureau (dossier OAI p. 886). De plus, il a passé le volet psychiatrique de l'expertise porte et porte-fenêtre fermées sans montrer de signes d'anxiété, sans se plaindre d'être mal à l'aise et sans avoir demandé à ouvrir la porte ou la porte-fenêtre (dossier OAI p. 887). Une perte de la capacité de l'attention et de la concentration ne ressort par ailleurs pas non plus du rapport du 29 août 2022 de H.________ (dossier OAI p. 806). Enfin, le psychiatre traitant mentionne que l'ensemble des troubles physiques et psychiques ont influencé d'une manière négative ses performances, son rendement et sa capacité de travail, et fixe la capacité de travail à 50% dans une activité adaptée à ses limitations physiques et psychiques. De la sorte, il se détermine également sur le volet somatique qui ne ressort pas de sa spécialité et on ignore quelle est l'ampleur de l'influence des troubles psychiatriques sur la capacité de travail. Ensuite, le recourant est désormais suivi par le Dr M.________, spécialiste en psychiatrie et psychothérapie. On ne sait cependant pas quand ce suivi a commencé, seules les dernières consultations (dès le 1er mars 2024) étant indiquées dans les réponses du 13 mai 2024 du psychiatre traitant aux questions posées par son mandataire. La fatigabilité et l'anxiété qu'il mentionne ont déjà été prises en compte dans l'expertise, de même que les limitations fonctionnelles retenues (limitations dans les déplacements et l'utilisation des transports, dans la gestion des émotions au sein de la société et dans les domaines cognitifs comme la concentration). La perte d'élan vital est quant à elle un élément postérieur à la décision litigieuse, qui n'a jamais été mentionné jusque-là, de même que le manque d'énergie, jusqu'alors non restreinte (expertise psychiatrique du 2 avril 2020, dossier OAI p. 373; expertise pluridisciplinaire, dossier OAI p. 921). Le psychiatre traitant n'indique ensuite pas quel aspect de la personnalité est modifié ni dans quelle mesure. Le manque de motivation attesté ne ressort ensuite pas des rapports de H.________ qui souligne son assiduité (cf. notamment rapports du 30 mai 2022, dossier OAI p. 731, et du 29 août 2022, dossier OAI p. 806), ni du rapport précité du 6 décembre 2021 de la Dre L.________. Enfin, la peur de sortir et de la société est en contradiction avec les dires du recourant, qui a indiqué à plusieurs reprises vouloir travailler dans la vente (expertise du 2 avril 2020, dossier OAI p. 264; expertise pluridisciplinaire, dossier OAI p. 853 et 891).</w:t>
      </w:r>
    </w:p>
    <w:p>
      <w:r>
        <w:rPr>
          <w:b/>
        </w:rPr>
        <w:t>E. 4.2.3</w:t>
      </w:r>
    </w:p>
    <w:p>
      <w:r>
        <w:t>Deux rapports de la Dre L.________ figurent encore au dossier, sur lesquels il convient de prendre brièvement position. Tout d'abord, le rapport du 13 septembre 2022 (dossier OAI p. 817), dont les experts ne semblent pas avoir eu connaissance, ne se prononce pas sur la capacité de travail et liste seulement des limitations fonctionnelles qui se recoupent avec celles attestées par l'expertise rhumatologique. Il n'ajoute ainsi rien de nouveau.</w:t>
      </w:r>
    </w:p>
    <w:p>
      <w:r>
        <w:t>Tribunal cantonal TC Page 12 de 17 Quant au rapport du 12 février 2024, produit avec la détermination du 14 février 2024 du recourant et cité en lien avec la capacité de travail, la généraliste pose des diagnostics déjà retenus par l'expertise pluridisciplinaire. Elle retient également des nouveaux diagnostics qui n'ont pas été attestés jusque-là, à savoir une hyperlipidémie, un pyrosis et une rhizarthrose à gauche avec un kyste arthro-synovial, qu'elle estime cependant comme étant stables. Par ailleurs, alors que la psychiatrie ne ressort pas de sa spécialité, elle se prononce également sur ce volet sans motiver pourquoi l'absence de diagnostic psychiatrique selon l'expertise ne lui paraît pas correspondre à la réalité. Dès lors qu'elle estime pour terminer que la capacité de travail est de 50% notamment en raison de la fatigabilité et du trouble anxieux, ce rapport ne permet pas non plus de s'écarter des conclusions de l'expertise pluridisciplinaire.</w:t>
      </w:r>
    </w:p>
    <w:p>
      <w:r>
        <w:rPr>
          <w:b/>
        </w:rPr>
        <w:t>E. 4.3</w:t>
      </w:r>
    </w:p>
    <w:p>
      <w:r>
        <w:t>La Cour fait ainsi siennes les conclusions des experts. Il existe subséquemment une incapacité totale de travail dans toute activité de juillet 2017 à février 2018. Ensuite, l'activité habituelle reste inexigible jusqu'à ce jour. Par contre, dans une activité adaptée respectant les limitations fonctionnelles, la capacité de travail est de 60% de mars 2018 à mars 2021, puis de 100% dès avril 2021. La cause étant en outre suffisamment instruite, il n'est pas nécessaire de mettre en œuvre une nouvelle expertise.</w:t>
      </w:r>
    </w:p>
    <w:p>
      <w:r>
        <w:rPr>
          <w:b/>
        </w:rPr>
        <w:t>E. 5.1</w:t>
      </w:r>
    </w:p>
    <w:p>
      <w:r>
        <w:t>Le recourant conteste également le revenu de valide.</w:t>
      </w:r>
    </w:p>
    <w:p>
      <w:r>
        <w:rPr>
          <w:b/>
        </w:rPr>
        <w:t>E. 5.1.1</w:t>
      </w:r>
    </w:p>
    <w:p>
      <w:r>
        <w:t>L'OAI a fixé le revenu sans invalidité à CHF 77'282.35, soit un revenu de CHF 76'593.- pour 2016 selon le compte individuel du recourant, auquel s'ajoute 0.9% au titre de l'indexation. Le recourant estime qu'il convient de se baser sur le certificat de salaire du 16 janvier 2017 établi par son ancien employeur (dossier OAI p. 1087) et de retenir un revenu de CHF 85'180.06, soit CHF 84'840.-, plus 0.7% et 0.4% au titre de l'évolution des salaires entre 2016 et 2017.</w:t>
      </w:r>
    </w:p>
    <w:p>
      <w:r>
        <w:rPr>
          <w:b/>
        </w:rPr>
        <w:t>E. 5.1.2</w:t>
      </w:r>
    </w:p>
    <w:p>
      <w:r>
        <w:t>Selon la jurisprudence, pour déterminer le revenu sans invalidité, il faut établir au degré de la vraisemblance prépondérante quel salaire l'assuré aurait réellement pu obtenir au moment déterminant s'il n'était pas devenu invalide. Ce revenu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(ATF 139 V 28 consid. 3.3.2; arrêt TF 9C_771/2023 du 5 août 2024 consid. 6.3.1). Des pièces du dossier, il ressort tout d'abord du décompte de salaire d'avril 2016 (dossier OAI p. 138) que le recourant touchait un salaire mensuel de CHF 6'300.- plus CHF 245.- d'allocation pour enfant. Annualisés et additionnés, ces montants, versés 13 fois l'an pour le salaire et 12 fois l'an pour l'allocation pour enfant, correspondent au total du revenu selon le certificat de salaire 2016 (soit CHF 84'840.-). En outre, les décisions d'indemnités journalières versées durant le cadre de la mesure auprès de H.________ indiquent un revenu déterminant de CHF 84'500.-. De ce fait, il convient d'admettre que le recourant a touché un salaire annuel supérieur à celui ressortant du compte individuel (soit CHF 76'593.-) et de retenir un revenu annuel de CHF 81'900.- (CHF 6'300.- x 13). Les allocations pour enfant, sur lesquelles les cotisations AVS ne sont pas</w:t>
      </w:r>
    </w:p>
    <w:p>
      <w:r>
        <w:t>Tribunal cantonal TC Page 13 de 17 prélevées, n'ont pas à être prises en compte. Compte tenu de l'indexation qui doit être calculée selon la tabelle T1.1.15 (indice des salaires nominaux, hommes, 2016-2022) pour le secteur bâtiment/construction, soit 0.3% pour 2017 et 0.5% pour 2018, le revenu sans invalidité se monte à CHF 82'556.45.</w:t>
      </w:r>
    </w:p>
    <w:p>
      <w:r>
        <w:rPr>
          <w:b/>
        </w:rPr>
        <w:t>E. 5.2</w:t>
      </w:r>
    </w:p>
    <w:p>
      <w:r>
        <w:t>L'OAI a ensuite établi le revenu avec invalidité pour la période du 1er juillet 2018 au 28 février 2021 selon l'enquête sur les salaires statistiques (ESS) 2018 (TA1_tirage_skill_level, total, niveau 1, hommes) et tenu compte d'une capacité de travail de 60%, soit CHF 40'659.85. Pour la période dès le 1er avril 2021, il s'est basé sur l'ESS 2020, une indexation de moins 0.2% et a pris en compte une pleine capacité de travail pour obtenir un revenu avec invalidité de CHF 65'683.55. Le recourant ne conteste pas l'utilisation des salaires statistiques. Il estime par contre qu'il faut tenir compte d'une capacité de travail de 40% et d'un abattement de 10% en raison de son taux d'activité réduit, et obtient un revenu d'invalide de CHF 24'395.-. Il ne saurait cependant être suivi. Il n'y a en effet pas lieu de s'écarter de la capacité de travail dans une activité adaptée de 60% de mars 2018 à mars 2021, puis de 100% dès le 1er avril 2021, établie par l'expertise pluridisciplinaire du 29 novembre 2022 qui a pleine valeur probante. Quant à la question d'un abattement de 10% en raison de son taux d'activité réduit, elle peut rester ouverte, cet abattement n'ayant pas une influence suffisante pour modifier les degrés d'invalidité calculés par l'OAI.</w:t>
      </w:r>
    </w:p>
    <w:p>
      <w:r>
        <w:rPr>
          <w:b/>
        </w:rPr>
        <w:t>E. 6.1</w:t>
      </w:r>
    </w:p>
    <w:p>
      <w:r>
        <w:t>Partant, le degré d'invalidité pour la période du 1er juillet 2018 au 28 février 2021 est de 50.75% (compte tenu d'un revenu sans invalidité de CHF 82'556.45 et d'un revenu avec invalidité de CHF 40'659.85), et ouvre le droit du recourant à une demi-rente d'invalidité au lieu d'un quart de rente.</w:t>
      </w:r>
    </w:p>
    <w:p>
      <w:r>
        <w:rPr>
          <w:b/>
        </w:rPr>
        <w:t>E. 6.2</w:t>
      </w:r>
    </w:p>
    <w:p>
      <w:r>
        <w:t>Le droit à la rente doit ensuite être nié dès le 1er mars 2021 jusqu'au 22 mai 2022 en raison des indemnités journalières versées, dès lors que, en vertu de l'art. 29 al. 2 LAI, il ne prend pas naissance tant que l’assuré peut faire valoir son droit à une indemnité journalière. De plus, d'après le principe de la priorité de la réadaptation sur la rente, aucune rente ne saurait être allouée du fait qu'une mesure de réadaptation est susceptible d'avoir une incidence sur la capacité de gain de la personne assurée (arrêt TF 9C_464/2012 du 5 novembre 2012 consid. 2.2.).</w:t>
      </w:r>
    </w:p>
    <w:p>
      <w:r>
        <w:rPr>
          <w:b/>
        </w:rPr>
        <w:t>E. 6.3</w:t>
      </w:r>
    </w:p>
    <w:p>
      <w:r>
        <w:t>Enfin, l'octroi d'une rente doit être refusé après le 22 mai 2022, dès lors que le degré d'invalidité est de 20.44% compte tenu d'un revenu sans invalidité de CHF 82'556.45 et d'un revenu d'invalide de CHF 65'683.55. En effet, une pleine capacité de travail dans une activité adaptée respectant les limitations fonctionnelles est attestée dès le 1er avril 2021 par les experts, de sorte qu'une rente n'aurait quoi qu’il en soit pas pu être accordée dès le 1er juillet 2021 (soit trois mois après la constatation de la pleine capacité de travail selon l'art. 88a al. 1 RAI), même si le recourant n'avait pas touché des indemnités journalières. Cette amélioration est également constatée par H.________ qui a attesté une augmentation régulière du taux d'activité depuis le début de la mesure pour atteindre 80%, taux qui n'a pas été augmenté en raison du souhait de l'assuré (cf. notamment rapports de H.________ du 31 mai 2021, dossier OAI p. 467; du 25 novembre 2021, dossier OAI p. 607; du 1er mars 2022, dossier OAI p. 670 et du 29 août 2022, dossier OAI p. 806).</w:t>
      </w:r>
    </w:p>
    <w:p>
      <w:r>
        <w:t>Tribunal cantonal TC Page 14 de 17</w:t>
      </w:r>
    </w:p>
    <w:p>
      <w:r>
        <w:rPr>
          <w:b/>
        </w:rPr>
        <w:t>E. 7</w:t>
      </w:r>
    </w:p>
    <w:p>
      <w:r>
        <w:t>Est encore contesté le moment du début du droit à la rente. L'OAI a retenu que l'arrêt de travail n'était médicalement justifié qu'à partir du 1er juillet 2017 en vertu de l'expertise pluridisciplinaire, laquelle n'a pas retenu les incapacités de travail antérieures à cette date. Le recourant soutient être en incapacité de travail d'un taux supérieur à 40% depuis le 25 janvier 2017. Les experts ont cependant considéré que la capacité de travail dans une activité adaptée a été entière jusqu'au début du suivi par le Dr I.________ le 6 juillet 2017. La valeur probante de l'expertise a déjà été discutée, et il n'y a pas lieu de s'en écarter. De ce fait, le début de l'incapacité de travail médicalement attesté doit être fixé au 1er juillet 2017 et le début du droit à la rente au 1er juillet 2018.</w:t>
      </w:r>
    </w:p>
    <w:p>
      <w:r>
        <w:rPr>
          <w:b/>
        </w:rPr>
        <w:t>E. 8</w:t>
      </w:r>
    </w:p>
    <w:p>
      <w:r>
        <w:t>Enfin, dans ses observations du 5 mars 2024, l'OAI propose une reformatio in pejus dès lors que, en vertu de la jurisprudence fédérale, le droit à la rente prend naissance au plus tôt après l'achèvement des mesures de réadaptation. Il n'aurait par conséquent pas dû octroyer à l'assuré une rente entre le 1er juillet 2018 et le 28 février 2021. Le recourant conteste cette proposition et relève tout d'abord que les mesures d'ordre professionnel et les indemnités journalières ont été allouées seulement à partir du 1er mars 2021, soit après l'échéance du délai d'attente, et qu'il n'est pas responsable de cette attente, le 1er entretien ayant eu lieu le 17 septembre 2020. Il estime ensuite que l'art. 29 al. 1 LAI n'est pas applicable. Enfin, l'OAI l'a informé le 5 juillet 2018 que des mesures de réadaptation n'entraient pas en ligne de compte (dossier OAI p. 221).</w:t>
      </w:r>
    </w:p>
    <w:p>
      <w:r>
        <w:rPr>
          <w:b/>
        </w:rPr>
        <w:t>E. 8.1</w:t>
      </w:r>
    </w:p>
    <w:p>
      <w:r>
        <w:t>Selon la jurisprudence fédérale, si l'assuré peut prétendre à des prestations de l'assurance- 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La preuve de l'absence de la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 ci ne l'était pas (arrêt TF 9C_559/2021 du 14 juillet 2022 consid. 2.2 et les références citées; arrêt TF 9C_380/2021 du 31 janvier 2022 consid. 5.1).</w:t>
      </w:r>
    </w:p>
    <w:p>
      <w:r>
        <w:rPr>
          <w:b/>
        </w:rPr>
        <w:t>E. 8.2</w:t>
      </w:r>
    </w:p>
    <w:p>
      <w:r>
        <w:t>En l'espèce, il convient de relever que l'OAI a, par communication du 5 juillet 2018, informé le recourant de la clôture de la phase d'intervention précoce et qu'aucune mesure de réadaptation d’ordre professionnel n’entrait en ligne de compte (dossier OAI p. 221). Il a par la suite mis en œuvre une expertise psychiatrique (expertise du 2 avril 2020), estimant que la situation médicale, notamment la capacité de travail dans une activité adaptée et les limitations fonctionnelles, n'était pas établie de manière suffisante. Les mesures de réadaptation n'étaient ainsi pas envisageables de septembre 2017 à avril 2020. Par ailleurs, des mesures de réadaptation ont été demandées à H.________ le 18 septembre 2020 (dossier OAI p. 412), mais n'ont pu débuter que le 22 février 2021 (dossier OAI p. 428). Elles ont</w:t>
      </w:r>
    </w:p>
    <w:p>
      <w:r>
        <w:t>Tribunal cantonal TC Page 15 de 17 ensuite été renouvelées à quatre reprises et ont pris fin le 21 août 2022 (rapport de H.________ du 29 août 2022, dossier OAI p. 806). Partant, l'octroi d'une rente à titre rétroactif est justifié du fait que le recourant n'était pas susceptible de réadaptation jusqu'à fin avril 2020 et que les mesures n'ont pas commencé avant le 22 février 2021. La Cour s'étonne que l'autorité propose dans de telles circonstances une reformatio in pejus qui ne se justifie manifestement pas.</w:t>
      </w:r>
    </w:p>
    <w:p>
      <w:r>
        <w:rPr>
          <w:b/>
        </w:rPr>
        <w:t>E. 9</w:t>
      </w:r>
    </w:p>
    <w:p>
      <w:r>
        <w:t>Le recourant allègue encore avoir droit à un reclassement, dès lors que sa perte de gain dépasse la limite de 20% retenue par la jurisprudence fédérale. Aux termes de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un droit à une mesure de reclassement est une diminution de la capacité de gain de 20 % environ (ATF 139 V 399 consid. 5.3, arrêt TF 8C_263/2022 du 8 septembre 2022 consid. 2.2). En l'occurrence, la perte de capacité de gain du recourant est de 20.44% (CHF 65'683.55 par rapport au revenu sans invalidité de CHF 82'556.45). L'OAI ne s'étant pas prononcé sur cette question, alléguée par le recourant pour la première fois durant la procédure de recours, il lui appartiendra d'examiner si les conditions d'un reclassement sont remplies et de rendre une décision à ce sujet.</w:t>
      </w:r>
    </w:p>
    <w:p>
      <w:r>
        <w:rPr>
          <w:b/>
        </w:rPr>
        <w:t>E. 10</w:t>
      </w:r>
    </w:p>
    <w:p>
      <w:r>
        <w:t>En résumé, il ressort de l'expertise pluridisciplinaire, qui a pleine valeur probante, que la capacité de travail dans toute activité est entière jusqu'au 6 juillet 2017. Elle est ensuite nulle dès cette date jusqu'en mars 2018. Une activité adaptée tenant compte des limitations fonctionnelles est ensuite exigible à 60% dès ce moment jusqu'en mars 2021, puis à plein temps à partir d'avril 2021. Compte tenu d'un revenu sans invalidité de CHF 82'556.45 et d'un revenu d'invalide de CHF 40'659.85 pour une activité à 60%, le degré d'invalidité est de 50.75% du 1er juillet 2017 au 28 février 2021. Le recourant a ainsi droit à une demi-rente du 1er juillet 2018, après écoulement du délai d'attente d'un an, jusqu'au 28 février 2021. Le droit à la rente est ensuite nié pour le mois de mars 2021 en raison des indemnités journalières versées. Il l'est également dès le 1er avril 2021, du fait que le recourant touche des indemnités journalières puis que le degré d'invalidité est de 20.44% en raison d'un revenu sans invalidité de CHF 82'556.45 et d'un revenu avec invalidité, pour une activité à plein temps, de CHF 65'683.55. Il appartiendra en outre à l'autorité intimée d'examiner si les conditions d'un reclassement sont remplies et de rendre une décision à ce sujet.</w:t>
      </w:r>
    </w:p>
    <w:p>
      <w:r>
        <w:t>Tribunal cantonal TC Page 16 de 17</w:t>
      </w:r>
    </w:p>
    <w:p>
      <w:r>
        <w:rPr>
          <w:b/>
        </w:rPr>
        <w:t>E. 11.1</w:t>
      </w:r>
    </w:p>
    <w:p>
      <w:r>
        <w:t>Au vu de ce qui précède, le recours doit être partiellement admis dans la mesure où le recourant a droit à une demi-rente d'invalidité du 1er juillet 2018 au 28 février 2021. La décision litigieuse est confirmée pour le surplus.</w:t>
      </w:r>
    </w:p>
    <w:p>
      <w:r>
        <w:rPr>
          <w:b/>
        </w:rPr>
        <w:t>E. 11.2</w:t>
      </w:r>
    </w:p>
    <w:p>
      <w:r>
        <w:t>Les frais de procédure de CHF 800.- sont répartis par moitié entre les parties à raison de CHF 400.- chacune. La part du recourant est compensée avec l'avance de frais de CHF 800.- versée le 26 janvier 2024, le solde de CHF 400.- lui étant restitué.</w:t>
      </w:r>
    </w:p>
    <w:p>
      <w:r>
        <w:rPr>
          <w:b/>
        </w:rPr>
        <w:t>E. 11.3</w:t>
      </w:r>
    </w:p>
    <w:p>
      <w:r>
        <w:t>Le recourant a droit à des dépens réduits. Son mandataire a produit sa liste de frais comptabilisant des montants de CHF 4'829.15 au titre d’honoraires (19 heures 19 minutes à CHF 250.- /heure), plus TVA à 7,7% puis 8.1% (soit au total CHF 390.35), de CHF 679.70.- de frais, plus TVA à 7,7% puis 8.1% (soit au total CHF 52.60) et de CHF 440.- de débours non soumis à la TVA, soit CHF 6'391.80. Cette liste de frais ne correspondant pas au tarif applicable en matière de débours (cf. art. 9 al. 2 du tarif cantonal du 17 décembre 1991 des frais de procédure et des indemnités en matière de juridiction administrative, Tarif/JA; RSF 150.12). En effet, la facturation de l'impression du dossier du recourant et du dossier AI (1121 pages au total) au même prix que celui des photocopies isolées est disproportionnée, les photocopies sont facturées à CHF 0.50 au lieu de CHF 0.40, les frais d'ouverture du dossier entrent dans les frais de secrétariat, des opérations ne concernent pas la présente procédure, et les montants versés aux médecins n'ont pas à être pris en compte dès lors qu'ils n'ont pas été utiles à la résolution du cas. Partant, l'indemnité de partie à laquelle le recourant a droit est fixée d'office conformément à l'art. 11 Tarif/JA. Elle se monte ainsi à CHF 4'000.- d'honoraires, plus CHF 200.- de débours, CHF 28.55 au titre de la TVA à 7.7% sur CHF 220.85 et CHF 317.50 au titre de la TVA à 8.1% sur CHF 3'919.75, soit un total de CHF 4'546.05. Compte tenu du gain de cause partiel, il sied de la réduire de moitié et de fixer l’indemnité qui revient au recourant à un montant global de CHF 2'100.-, débours compris, plus CHF 14.30 au titre de la TVA à 7.7% et CHF 158.75 au titre de la TVA à 8.1%, soit un total de CHF 2'273.05, intégralement mis à la charge de l’OAI. (dispositif page suivante)</w:t>
      </w:r>
    </w:p>
    <w:p>
      <w:r>
        <w:t>Tribunal cantonal TC Page 17 de 17 la Cour arrête : I. Le recours est partiellement admis. Partant, A.________ a droit à une demi-rente d'invalidité du 1er juillet 2018 au 28 février 2021. Au surplus, la décision de l'Office de l'assurance-invalidité du canton de Fribourg du 7 décembre 2023 est confirmée. II. Les frais de procédure, par CHF 800.-, sont mis à raison de CHF 400.- à la charge de l'Office de l'assurance-invalidité du canton de Fribourg et de CHF 400.- à la charge de A.________. Le montant dû par le recourant est compensé avec l'avance de frais versée par celui-ci et le solde de CHF 400.- lui est restitué. III. L'indemnité de partie octroyée à A.________ est fixée à CHF 2'100.- (honoraires et débours), plus CHF 14.30 au titre de la TVA à 7.7% et CHF 158.75 au titre de la TVA à 8.1%, soit un total de CHF 2'273.05, et mise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octobre 2024/cso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